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ebay-q2-2026-earnings-preview"/>
    <w:p>
      <w:pPr>
        <w:pStyle w:val="Heading1"/>
      </w:pPr>
      <w:r>
        <w:t xml:space="preserve">eBay Q2 2026 Earnings Preview</w:t>
      </w:r>
    </w:p>
    <w:p>
      <w:pPr>
        <w:pStyle w:val="BlockText"/>
      </w:pPr>
      <w:r>
        <w:rPr>
          <w:b/>
          <w:bCs/>
        </w:rPr>
        <w:t xml:space="preserve">Date clarification:</w:t>
      </w:r>
      <w:r>
        <w:t xml:space="preserve"> </w:t>
      </w:r>
      <w:r>
        <w:t xml:space="preserve">Today is</w:t>
      </w:r>
      <w:r>
        <w:t xml:space="preserve"> </w:t>
      </w:r>
      <w:r>
        <w:rPr>
          <w:b/>
          <w:bCs/>
        </w:rPr>
        <w:t xml:space="preserve">Wednesday, August 5, 2026</w:t>
      </w:r>
      <w:r>
        <w:t xml:space="preserve">. eBay is scheduled to report</w:t>
      </w:r>
      <w:r>
        <w:t xml:space="preserve"> </w:t>
      </w:r>
      <w:r>
        <w:rPr>
          <w:b/>
          <w:bCs/>
        </w:rPr>
        <w:t xml:space="preserve">Q2 2026 results after the U.S. market close today</w:t>
      </w:r>
      <w:r>
        <w:t xml:space="preserve">, followed by its earnings call—not tomorrow.</w:t>
      </w:r>
    </w:p>
    <w:bookmarkStart w:id="9" w:name="investment-framing"/>
    <w:p>
      <w:pPr>
        <w:pStyle w:val="Heading2"/>
      </w:pPr>
      <w:r>
        <w:t xml:space="preserve">Investment framing</w:t>
      </w:r>
    </w:p>
    <w:p>
      <w:pPr>
        <w:pStyle w:val="FirstParagraph"/>
      </w:pPr>
      <w:r>
        <w:t xml:space="preserve">eBay enters Q2 with a much stronger fundamental setup than it had a year ago: Q1 delivered a sharp acceleration in GMV, revenue, advertising, and U.S. buyer growth. The principal question for this report is whether that strength remained broad-based through Q2 despite management’s expectation for a step-down from Q1’s exceptional growth rate.</w:t>
      </w:r>
    </w:p>
    <w:p>
      <w:pPr>
        <w:pStyle w:val="BodyText"/>
      </w:pPr>
      <w:r>
        <w:t xml:space="preserve">The bar looks manageable but not trivial. Consensus calls for approximately</w:t>
      </w:r>
      <w:r>
        <w:t xml:space="preserve"> </w:t>
      </w:r>
      <m:oMath>
        <m:r>
          <m:t>3.018</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1.51 of non-GAAP EPS</w:t>
      </w:r>
      <w:r>
        <w:t xml:space="preserve">—near the upper end of eBay’s Q2 revenue guide and slightly above the top end of its EPS guide. Thus, a modest beat alone may not be sufficient: investors will likely focus most on</w:t>
      </w:r>
      <w:r>
        <w:t xml:space="preserve"> </w:t>
      </w:r>
      <w:r>
        <w:rPr>
          <w:b/>
          <w:bCs/>
        </w:rPr>
        <w:t xml:space="preserve">Q3 and full-year GMV/revenue guidance</w:t>
      </w:r>
      <w:r>
        <w:t xml:space="preserve">, the durability of U.S. momentum, and the trade-off between reinvestment and margin expansion.</w:t>
      </w:r>
    </w:p>
    <w:p>
      <w:pPr>
        <w:pStyle w:val="BodyText"/>
      </w:pPr>
      <w:r>
        <w:t xml:space="preserve">EBAY closed at</w:t>
      </w:r>
      <w:r>
        <w:t xml:space="preserve"> </w:t>
      </w:r>
      <w:r>
        <w:rPr>
          <w:b/>
          <w:bCs/>
        </w:rPr>
        <w:t xml:space="preserve">$109.64 on August 4</w:t>
      </w:r>
      <w:r>
        <w:t xml:space="preserve">, down about 6.6% from its July 28 closing high of $117.44, suggesting some pre-print de-risking but not necessarily a low expectations bar.</w:t>
      </w:r>
    </w:p>
    <w:p>
      <w:r>
        <w:pict>
          <v:rect style="width:0;height:1.5pt" o:hralign="center" o:hrstd="t" o:hr="t"/>
        </w:pict>
      </w:r>
    </w:p>
    <w:bookmarkEnd w:id="9"/>
    <w:bookmarkStart w:id="10" w:name="the-numbers-that-matter"/>
    <w:p>
      <w:pPr>
        <w:pStyle w:val="Heading2"/>
      </w:pPr>
      <w:r>
        <w:t xml:space="preserve">The numbers that matter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company guide</w:t>
            </w:r>
          </w:p>
        </w:tc>
        <w:tc>
          <w:tcPr/>
          <w:p>
            <w:pPr>
              <w:pStyle w:val="Compact"/>
              <w:jc w:val="right"/>
            </w:pPr>
            <w:r>
              <w:t xml:space="preserve">Q2 2025 actual</w:t>
            </w:r>
          </w:p>
        </w:tc>
        <w:tc>
          <w:tcPr/>
          <w:p>
            <w:pPr>
              <w:pStyle w:val="Compact"/>
              <w:jc w:val="right"/>
            </w:pPr>
            <w:r>
              <w:t xml:space="preserve">Implied year-over-year change</w:t>
            </w:r>
          </w:p>
        </w:tc>
      </w:tr>
      <w:tr>
        <w:tc>
          <w:tcPr/>
          <w:p>
            <w:pPr>
              <w:pStyle w:val="Compact"/>
            </w:pPr>
            <w:r>
              <w:t xml:space="preserve">GMV</w:t>
            </w:r>
          </w:p>
        </w:tc>
        <w:tc>
          <w:tcPr/>
          <w:p>
            <w:pPr>
              <w:pStyle w:val="Compact"/>
              <w:jc w:val="right"/>
            </w:pPr>
            <m:oMath>
              <m:r>
                <m:t>21.3</m:t>
              </m:r>
              <m:r>
                <m:t>B</m:t>
              </m:r>
              <m:r>
                <m:rPr>
                  <m:sty m:val="p"/>
                </m:rPr>
                <m:t>–</m:t>
              </m:r>
            </m:oMath>
            <w:r>
              <w:t xml:space="preserve">21.7B</w:t>
            </w:r>
          </w:p>
        </w:tc>
        <w:tc>
          <w:tcPr/>
          <w:p>
            <w:pPr>
              <w:pStyle w:val="Compact"/>
              <w:jc w:val="right"/>
            </w:pPr>
            <w:r>
              <w:t xml:space="preserve">$19.5B</w:t>
            </w:r>
          </w:p>
        </w:tc>
        <w:tc>
          <w:tcPr/>
          <w:p>
            <w:pPr>
              <w:pStyle w:val="Compact"/>
              <w:jc w:val="right"/>
            </w:pPr>
            <w:r>
              <w:t xml:space="preserve">8%–10% FX-neutral</w:t>
            </w:r>
          </w:p>
        </w:tc>
      </w:tr>
      <w:tr>
        <w:tc>
          <w:tcPr/>
          <w:p>
            <w:pPr>
              <w:pStyle w:val="Compact"/>
            </w:pPr>
            <w:r>
              <w:t xml:space="preserve">Revenue</w:t>
            </w:r>
          </w:p>
        </w:tc>
        <w:tc>
          <w:tcPr/>
          <w:p>
            <w:pPr>
              <w:pStyle w:val="Compact"/>
              <w:jc w:val="right"/>
            </w:pPr>
            <m:oMath>
              <m:r>
                <m:t>2.97</m:t>
              </m:r>
              <m:r>
                <m:t>B</m:t>
              </m:r>
              <m:r>
                <m:rPr>
                  <m:sty m:val="p"/>
                </m:rPr>
                <m:t>–</m:t>
              </m:r>
            </m:oMath>
            <w:r>
              <w:t xml:space="preserve">3.03B</w:t>
            </w:r>
          </w:p>
        </w:tc>
        <w:tc>
          <w:tcPr/>
          <w:p>
            <w:pPr>
              <w:pStyle w:val="Compact"/>
              <w:jc w:val="right"/>
            </w:pPr>
            <w:r>
              <w:t xml:space="preserve">$2.73B</w:t>
            </w:r>
          </w:p>
        </w:tc>
        <w:tc>
          <w:tcPr/>
          <w:p>
            <w:pPr>
              <w:pStyle w:val="Compact"/>
              <w:jc w:val="right"/>
            </w:pPr>
            <w:r>
              <w:t xml:space="preserve">8%–10% FX-neutral</w:t>
            </w:r>
          </w:p>
        </w:tc>
      </w:tr>
      <w:tr>
        <w:tc>
          <w:tcPr/>
          <w:p>
            <w:pPr>
              <w:pStyle w:val="Compact"/>
            </w:pPr>
            <w:r>
              <w:t xml:space="preserve">Non-GAAP EPS</w:t>
            </w:r>
          </w:p>
        </w:tc>
        <w:tc>
          <w:tcPr/>
          <w:p>
            <w:pPr>
              <w:pStyle w:val="Compact"/>
              <w:jc w:val="right"/>
            </w:pPr>
            <m:oMath>
              <m:r>
                <m:t>1.46</m:t>
              </m:r>
              <m:r>
                <m:rPr>
                  <m:sty m:val="p"/>
                </m:rPr>
                <m:t>–</m:t>
              </m:r>
            </m:oMath>
            <w:r>
              <w:t xml:space="preserve">1.51</w:t>
            </w:r>
          </w:p>
        </w:tc>
        <w:tc>
          <w:tcPr/>
          <w:p>
            <w:pPr>
              <w:pStyle w:val="Compact"/>
              <w:jc w:val="right"/>
            </w:pPr>
            <w:r>
              <w:t xml:space="preserve">$1.37</w:t>
            </w:r>
          </w:p>
        </w:tc>
        <w:tc>
          <w:tcPr/>
          <w:p>
            <w:pPr>
              <w:pStyle w:val="Compact"/>
              <w:jc w:val="right"/>
            </w:pPr>
            <w:r>
              <w:t xml:space="preserve">7%–11%</w:t>
            </w:r>
          </w:p>
        </w:tc>
      </w:tr>
      <w:tr>
        <w:tc>
          <w:tcPr/>
          <w:p>
            <w:pPr>
              <w:pStyle w:val="Compact"/>
            </w:pPr>
            <w:r>
              <w:t xml:space="preserve">Non-GAAP operating margin</w:t>
            </w:r>
          </w:p>
        </w:tc>
        <w:tc>
          <w:tcPr/>
          <w:p>
            <w:pPr>
              <w:pStyle w:val="Compact"/>
              <w:jc w:val="right"/>
            </w:pPr>
            <w:r>
              <w:t xml:space="preserve">27.6%–28.1%</w:t>
            </w:r>
          </w:p>
        </w:tc>
        <w:tc>
          <w:tcPr/>
          <w:p>
            <w:pPr>
              <w:pStyle w:val="Compact"/>
              <w:jc w:val="right"/>
            </w:pPr>
            <w:r>
              <w:t xml:space="preserve">28.4%</w:t>
            </w:r>
          </w:p>
        </w:tc>
        <w:tc>
          <w:tcPr/>
          <w:p>
            <w:pPr>
              <w:pStyle w:val="Compact"/>
              <w:jc w:val="right"/>
            </w:pPr>
            <w:r>
              <w:t xml:space="preserve">Down modestly</w:t>
            </w:r>
          </w:p>
        </w:tc>
      </w:tr>
      <w:tr>
        <w:tc>
          <w:tcPr/>
          <w:p>
            <w:pPr>
              <w:pStyle w:val="Compact"/>
            </w:pPr>
            <w:r>
              <w:t xml:space="preserve">Street revenue expectation</w:t>
            </w:r>
          </w:p>
        </w:tc>
        <w:tc>
          <w:tcPr/>
          <w:p>
            <w:pPr>
              <w:pStyle w:val="Compact"/>
              <w:jc w:val="right"/>
            </w:pPr>
            <w:r>
              <w:t xml:space="preserve">~$3.018B</w:t>
            </w:r>
          </w:p>
        </w:tc>
        <w:tc>
          <w:tcPr/>
          <w:p>
            <w:pPr>
              <w:pStyle w:val="Compact"/>
              <w:jc w:val="right"/>
            </w:pPr>
            <w:r>
              <w:t xml:space="preserve">—</w:t>
            </w:r>
          </w:p>
        </w:tc>
        <w:tc>
          <w:tcPr/>
          <w:p>
            <w:pPr>
              <w:pStyle w:val="Compact"/>
              <w:jc w:val="right"/>
            </w:pPr>
            <w:r>
              <w:t xml:space="preserve">Near high end of guide</w:t>
            </w:r>
          </w:p>
        </w:tc>
      </w:tr>
      <w:tr>
        <w:tc>
          <w:tcPr/>
          <w:p>
            <w:pPr>
              <w:pStyle w:val="Compact"/>
            </w:pPr>
            <w:r>
              <w:t xml:space="preserve">Street EPS expectation</w:t>
            </w:r>
          </w:p>
        </w:tc>
        <w:tc>
          <w:tcPr/>
          <w:p>
            <w:pPr>
              <w:pStyle w:val="Compact"/>
              <w:jc w:val="right"/>
            </w:pPr>
            <w:r>
              <w:t xml:space="preserve">~$1.51</w:t>
            </w:r>
          </w:p>
        </w:tc>
        <w:tc>
          <w:tcPr/>
          <w:p>
            <w:pPr>
              <w:pStyle w:val="Compact"/>
              <w:jc w:val="right"/>
            </w:pPr>
            <w:r>
              <w:t xml:space="preserve">—</w:t>
            </w:r>
          </w:p>
        </w:tc>
        <w:tc>
          <w:tcPr/>
          <w:p>
            <w:pPr>
              <w:pStyle w:val="Compact"/>
              <w:jc w:val="right"/>
            </w:pPr>
            <w:r>
              <w:t xml:space="preserve">At/just above high end of guide</w:t>
            </w:r>
          </w:p>
        </w:tc>
      </w:tr>
    </w:tbl>
    <w:p>
      <w:pPr>
        <w:pStyle w:val="BodyText"/>
      </w:pPr>
      <w:r>
        <w:rPr>
          <w:b/>
          <w:bCs/>
        </w:rPr>
        <w:t xml:space="preserve">Takeaway:</w:t>
      </w:r>
      <w:r>
        <w:t xml:space="preserve"> </w:t>
      </w:r>
      <w:r>
        <w:t xml:space="preserve">The Street is effectively underwriting a result around the high end of the company’s April outlook. The more important determinant of the stock reaction should be whether management can sustain its upgraded full-year framework—</w:t>
      </w:r>
      <w:r>
        <w:rPr>
          <w:b/>
          <w:bCs/>
        </w:rPr>
        <w:t xml:space="preserve">7%–7.5% FX-neutral GMV growth and 9%–11% non-GAAP operating-income growth</w:t>
      </w:r>
      <w:r>
        <w:t xml:space="preserve">—rather than merely delivering the Q2 beat.</w:t>
      </w:r>
    </w:p>
    <w:p>
      <w:r>
        <w:pict>
          <v:rect style="width:0;height:1.5pt" o:hralign="center" o:hrstd="t" o:hr="t"/>
        </w:pict>
      </w:r>
    </w:p>
    <w:bookmarkEnd w:id="10"/>
    <w:bookmarkStart w:id="17" w:name="what-investors-should-watch"/>
    <w:p>
      <w:pPr>
        <w:pStyle w:val="Heading2"/>
      </w:pPr>
      <w:r>
        <w:t xml:space="preserve">What investors should watch</w:t>
      </w:r>
    </w:p>
    <w:bookmarkStart w:id="11" w:name="Xc32e3c41850caa2dc3564649ff9f49596d1c82d"/>
    <w:p>
      <w:pPr>
        <w:pStyle w:val="Heading3"/>
      </w:pPr>
      <w:r>
        <w:t xml:space="preserve">1. GMV quality: Is growth still broad-based after Q1?</w:t>
      </w:r>
    </w:p>
    <w:p>
      <w:pPr>
        <w:pStyle w:val="FirstParagraph"/>
      </w:pPr>
      <w:r>
        <w:t xml:space="preserve">Q1 GMV grew</w:t>
      </w:r>
      <w:r>
        <w:t xml:space="preserve"> </w:t>
      </w:r>
      <w:r>
        <w:rPr>
          <w:b/>
          <w:bCs/>
        </w:rPr>
        <w:t xml:space="preserve">14% FX-neutral</w:t>
      </w:r>
      <w:r>
        <w:t xml:space="preserve">, driven by strong performance in collectibles, Motors Parts &amp; Accessories, fashion, electronics, consumer-to-consumer (“C2C”), and recommerce. U.S. GMV was especially strong, up roughly</w:t>
      </w:r>
      <w:r>
        <w:t xml:space="preserve"> </w:t>
      </w:r>
      <w:r>
        <w:rPr>
          <w:b/>
          <w:bCs/>
        </w:rPr>
        <w:t xml:space="preserve">27%</w:t>
      </w:r>
      <w:r>
        <w:t xml:space="preserve"> </w:t>
      </w:r>
      <w:r>
        <w:t xml:space="preserve">year over year, while international growth improved but remained more muted amid softer macro conditions.</w:t>
      </w:r>
    </w:p>
    <w:p>
      <w:pPr>
        <w:pStyle w:val="BodyText"/>
      </w:pPr>
      <w:r>
        <w:t xml:space="preserve">Management already forecast a deceleration to 8%–10% FX-neutral GMV growth in Q2. It attributed much of that slowdown to:</w:t>
      </w:r>
    </w:p>
    <w:p>
      <w:pPr>
        <w:pStyle w:val="Compact"/>
        <w:numPr>
          <w:ilvl w:val="0"/>
          <w:numId w:val="1001"/>
        </w:numPr>
      </w:pPr>
      <w:r>
        <w:t xml:space="preserve">Lapping favorable lower-funnel marketing efficiency;</w:t>
      </w:r>
    </w:p>
    <w:p>
      <w:pPr>
        <w:pStyle w:val="Compact"/>
        <w:numPr>
          <w:ilvl w:val="0"/>
          <w:numId w:val="1001"/>
        </w:numPr>
      </w:pPr>
      <w:r>
        <w:t xml:space="preserve">Lapping the U.S. Klarna rollout;</w:t>
      </w:r>
    </w:p>
    <w:p>
      <w:pPr>
        <w:pStyle w:val="Compact"/>
        <w:numPr>
          <w:ilvl w:val="0"/>
          <w:numId w:val="1001"/>
        </w:numPr>
      </w:pPr>
      <w:r>
        <w:t xml:space="preserve">A normalization in gold and silver bullion demand after a Q1 lift; and</w:t>
      </w:r>
    </w:p>
    <w:p>
      <w:pPr>
        <w:pStyle w:val="Compact"/>
        <w:numPr>
          <w:ilvl w:val="0"/>
          <w:numId w:val="1001"/>
        </w:numPr>
      </w:pPr>
      <w:r>
        <w:t xml:space="preserve">Tougher comparisons more generally.</w:t>
      </w:r>
    </w:p>
    <w:p>
      <w:pPr>
        <w:pStyle w:val="FirstParagraph"/>
      </w:pPr>
      <w:r>
        <w:t xml:space="preserve">The key issue is whether Q2 GMV lands near the top of the range</w:t>
      </w:r>
      <w:r>
        <w:t xml:space="preserve"> </w:t>
      </w:r>
      <w:r>
        <w:rPr>
          <w:b/>
          <w:bCs/>
        </w:rPr>
        <w:t xml:space="preserve">without leaning excessively on collectibles or price-sensitive bullion activity</w:t>
      </w:r>
      <w:r>
        <w:t xml:space="preserve">. A healthy result would show continued contributions from Motors, fashion, electronics, C2C, and international shipping initiatives.</w:t>
      </w:r>
    </w:p>
    <w:p>
      <w:pPr>
        <w:pStyle w:val="BodyText"/>
      </w:pPr>
      <w:r>
        <w:rPr>
          <w:b/>
          <w:bCs/>
        </w:rPr>
        <w:t xml:space="preserve">Most important operating metrics:</w:t>
      </w:r>
    </w:p>
    <w:p>
      <w:pPr>
        <w:pStyle w:val="Compact"/>
        <w:numPr>
          <w:ilvl w:val="0"/>
          <w:numId w:val="1002"/>
        </w:numPr>
      </w:pPr>
      <w:r>
        <w:t xml:space="preserve">U.S. versus international GMV growth;</w:t>
      </w:r>
    </w:p>
    <w:p>
      <w:pPr>
        <w:pStyle w:val="Compact"/>
        <w:numPr>
          <w:ilvl w:val="0"/>
          <w:numId w:val="1002"/>
        </w:numPr>
      </w:pPr>
      <w:r>
        <w:t xml:space="preserve">Active-buyer growth, particularly in the U.S.;</w:t>
      </w:r>
    </w:p>
    <w:p>
      <w:pPr>
        <w:pStyle w:val="Compact"/>
        <w:numPr>
          <w:ilvl w:val="0"/>
          <w:numId w:val="1002"/>
        </w:numPr>
      </w:pPr>
      <w:r>
        <w:t xml:space="preserve">Enthusiast-buyer growth and spend;</w:t>
      </w:r>
    </w:p>
    <w:p>
      <w:pPr>
        <w:pStyle w:val="Compact"/>
        <w:numPr>
          <w:ilvl w:val="0"/>
          <w:numId w:val="1002"/>
        </w:numPr>
      </w:pPr>
      <w:r>
        <w:t xml:space="preserve">Category mix, especially collectibles, P&amp;A, fashion, and electronics;</w:t>
      </w:r>
    </w:p>
    <w:p>
      <w:pPr>
        <w:pStyle w:val="Compact"/>
        <w:numPr>
          <w:ilvl w:val="0"/>
          <w:numId w:val="1002"/>
        </w:numPr>
      </w:pPr>
      <w:r>
        <w:t xml:space="preserve">Evidence that C2C growth continues to outpace B2C.</w:t>
      </w:r>
    </w:p>
    <w:p>
      <w:r>
        <w:pict>
          <v:rect style="width:0;height:1.5pt" o:hralign="center" o:hrstd="t" o:hr="t"/>
        </w:pict>
      </w:r>
    </w:p>
    <w:bookmarkEnd w:id="11"/>
    <w:bookmarkStart w:id="12" w:name="Xcbf63a601fe5b0ce01086c95d2cc6ab2f9a619d"/>
    <w:p>
      <w:pPr>
        <w:pStyle w:val="Heading3"/>
      </w:pPr>
      <w:r>
        <w:t xml:space="preserve">2. Advertising remains the most important monetization lever</w:t>
      </w:r>
    </w:p>
    <w:p>
      <w:pPr>
        <w:pStyle w:val="FirstParagraph"/>
      </w:pPr>
      <w:r>
        <w:t xml:space="preserve">Advertising was a standout in Q1:</w:t>
      </w:r>
    </w:p>
    <w:p>
      <w:pPr>
        <w:pStyle w:val="Compact"/>
        <w:numPr>
          <w:ilvl w:val="0"/>
          <w:numId w:val="1003"/>
        </w:numPr>
      </w:pPr>
      <w:r>
        <w:t xml:space="preserve">Total advertising revenue:</w:t>
      </w:r>
      <w:r>
        <w:t xml:space="preserve"> </w:t>
      </w:r>
      <w:r>
        <w:rPr>
          <w:b/>
          <w:bCs/>
        </w:rPr>
        <w:t xml:space="preserve">$581 million</w:t>
      </w:r>
      <w:r>
        <w:t xml:space="preserve">, or</w:t>
      </w:r>
      <w:r>
        <w:t xml:space="preserve"> </w:t>
      </w:r>
      <w:r>
        <w:rPr>
          <w:b/>
          <w:bCs/>
        </w:rPr>
        <w:t xml:space="preserve">2.6% of GMV</w:t>
      </w:r>
      <w:r>
        <w:t xml:space="preserve">;</w:t>
      </w:r>
    </w:p>
    <w:p>
      <w:pPr>
        <w:pStyle w:val="Compact"/>
        <w:numPr>
          <w:ilvl w:val="0"/>
          <w:numId w:val="1003"/>
        </w:numPr>
      </w:pPr>
      <w:r>
        <w:t xml:space="preserve">First-party advertising revenue:</w:t>
      </w:r>
      <w:r>
        <w:t xml:space="preserve"> </w:t>
      </w:r>
      <w:r>
        <w:rPr>
          <w:b/>
          <w:bCs/>
        </w:rPr>
        <w:t xml:space="preserve">$555 million</w:t>
      </w:r>
      <w:r>
        <w:t xml:space="preserve">, up</w:t>
      </w:r>
      <w:r>
        <w:t xml:space="preserve"> </w:t>
      </w:r>
      <w:r>
        <w:rPr>
          <w:b/>
          <w:bCs/>
        </w:rPr>
        <w:t xml:space="preserve">28% FX-neutral</w:t>
      </w:r>
      <w:r>
        <w:t xml:space="preserve">;</w:t>
      </w:r>
    </w:p>
    <w:p>
      <w:pPr>
        <w:pStyle w:val="Compact"/>
        <w:numPr>
          <w:ilvl w:val="0"/>
          <w:numId w:val="1003"/>
        </w:numPr>
      </w:pPr>
      <w:r>
        <w:t xml:space="preserve">Promoted Listings adoption: more than</w:t>
      </w:r>
      <w:r>
        <w:t xml:space="preserve"> </w:t>
      </w:r>
      <w:r>
        <w:rPr>
          <w:b/>
          <w:bCs/>
        </w:rPr>
        <w:t xml:space="preserve">5.2 million sellers</w:t>
      </w:r>
      <w:r>
        <w:t xml:space="preserve"> </w:t>
      </w:r>
      <w:r>
        <w:t xml:space="preserve">used at least one product.</w:t>
      </w:r>
    </w:p>
    <w:p>
      <w:pPr>
        <w:pStyle w:val="FirstParagraph"/>
      </w:pPr>
      <w:r>
        <w:t xml:space="preserve">Advertising growth above GMV is central to the investment case because it helps eBay monetize marketplace recovery without requiring equivalent GMV growth. Investors should look for continued seller adoption, higher listing penetration, improved ad yield, and evidence that AI-enabled advertising tools are increasing returns for sellers rather than simply raising ad loads.</w:t>
      </w:r>
    </w:p>
    <w:p>
      <w:pPr>
        <w:pStyle w:val="BodyText"/>
      </w:pPr>
      <w:r>
        <w:t xml:space="preserve">A deceleration is likely given difficult comparisons, but a continued material growth premium versus GMV would support the thesis that take-rate expansion can offset some mix pressure from faster-growing Live and vehicles businesses.</w:t>
      </w:r>
    </w:p>
    <w:p>
      <w:r>
        <w:pict>
          <v:rect style="width:0;height:1.5pt" o:hralign="center" o:hrstd="t" o:hr="t"/>
        </w:pict>
      </w:r>
    </w:p>
    <w:bookmarkEnd w:id="12"/>
    <w:bookmarkStart w:id="13" w:name="Xfc5dae0f386491785b3dd2c418638749f524a8e"/>
    <w:p>
      <w:pPr>
        <w:pStyle w:val="Heading3"/>
      </w:pPr>
      <w:r>
        <w:t xml:space="preserve">3. Margins: healthy reinvestment or emerging leakage?</w:t>
      </w:r>
    </w:p>
    <w:p>
      <w:pPr>
        <w:pStyle w:val="FirstParagraph"/>
      </w:pPr>
      <w:r>
        <w:t xml:space="preserve">Q2 guidance implies non-GAAP operating margin of</w:t>
      </w:r>
      <w:r>
        <w:t xml:space="preserve"> </w:t>
      </w:r>
      <w:r>
        <w:rPr>
          <w:b/>
          <w:bCs/>
        </w:rPr>
        <w:t xml:space="preserve">27.6%–28.1%</w:t>
      </w:r>
      <w:r>
        <w:t xml:space="preserve">, below the</w:t>
      </w:r>
      <w:r>
        <w:t xml:space="preserve"> </w:t>
      </w:r>
      <w:r>
        <w:rPr>
          <w:b/>
          <w:bCs/>
        </w:rPr>
        <w:t xml:space="preserve">29.4%</w:t>
      </w:r>
      <w:r>
        <w:t xml:space="preserve"> </w:t>
      </w:r>
      <w:r>
        <w:t xml:space="preserve">delivered in Q1 and the</w:t>
      </w:r>
      <w:r>
        <w:t xml:space="preserve"> </w:t>
      </w:r>
      <w:r>
        <w:rPr>
          <w:b/>
          <w:bCs/>
        </w:rPr>
        <w:t xml:space="preserve">28.4%</w:t>
      </w:r>
      <w:r>
        <w:t xml:space="preserve"> </w:t>
      </w:r>
      <w:r>
        <w:t xml:space="preserve">posted in Q2 2025.</w:t>
      </w:r>
    </w:p>
    <w:p>
      <w:pPr>
        <w:pStyle w:val="BodyText"/>
      </w:pPr>
      <w:r>
        <w:t xml:space="preserve">Some moderation is intentional. Management has said it will reinvest upside into strategic areas including C2C, eBay Live, AI, shipping, and full-funnel marketing. This is sensible if it protects the improved growth profile, but the market will want confirmation that incremental investments are generating visible returns.</w:t>
      </w:r>
    </w:p>
    <w:p>
      <w:pPr>
        <w:pStyle w:val="BodyText"/>
      </w:pPr>
      <w:r>
        <w:t xml:space="preserve">Specific expense lines to monitor:</w:t>
      </w:r>
    </w:p>
    <w:p>
      <w:pPr>
        <w:pStyle w:val="Compact"/>
        <w:numPr>
          <w:ilvl w:val="0"/>
          <w:numId w:val="1004"/>
        </w:numPr>
      </w:pPr>
      <w:r>
        <w:rPr>
          <w:b/>
          <w:bCs/>
        </w:rPr>
        <w:t xml:space="preserve">Sales and marketing:</w:t>
      </w:r>
      <w:r>
        <w:t xml:space="preserve"> </w:t>
      </w:r>
      <w:r>
        <w:t xml:space="preserve">Q1 grew 25% year over year as eBay increased investment behind C2C and Live.</w:t>
      </w:r>
    </w:p>
    <w:p>
      <w:pPr>
        <w:pStyle w:val="Compact"/>
        <w:numPr>
          <w:ilvl w:val="0"/>
          <w:numId w:val="1004"/>
        </w:numPr>
      </w:pPr>
      <w:r>
        <w:rPr>
          <w:b/>
          <w:bCs/>
        </w:rPr>
        <w:t xml:space="preserve">Transaction losses:</w:t>
      </w:r>
      <w:r>
        <w:t xml:space="preserve"> </w:t>
      </w:r>
      <w:r>
        <w:t xml:space="preserve">Q1 transaction losses rose 70%, partly reflecting newer shipping initiatives, buyer-protection programs, and unfavorable fraud/recovery trends.</w:t>
      </w:r>
    </w:p>
    <w:p>
      <w:pPr>
        <w:pStyle w:val="Compact"/>
        <w:numPr>
          <w:ilvl w:val="0"/>
          <w:numId w:val="1004"/>
        </w:numPr>
      </w:pPr>
      <w:r>
        <w:rPr>
          <w:b/>
          <w:bCs/>
        </w:rPr>
        <w:t xml:space="preserve">Product and AI spending:</w:t>
      </w:r>
      <w:r>
        <w:t xml:space="preserve"> </w:t>
      </w:r>
      <w:r>
        <w:t xml:space="preserve">Investors will look for evidence that AI investments are delivering seller productivity and conversion gains without structurally pressuring margins.</w:t>
      </w:r>
    </w:p>
    <w:p>
      <w:pPr>
        <w:pStyle w:val="Compact"/>
        <w:numPr>
          <w:ilvl w:val="0"/>
          <w:numId w:val="1004"/>
        </w:numPr>
      </w:pPr>
      <w:r>
        <w:rPr>
          <w:b/>
          <w:bCs/>
        </w:rPr>
        <w:t xml:space="preserve">Cash flow:</w:t>
      </w:r>
      <w:r>
        <w:t xml:space="preserve"> </w:t>
      </w:r>
      <w:r>
        <w:t xml:space="preserve">Q1 free cash flow was strong at $898 million, but Q2 working-capital patterns can be volatile; Q2 2025 free cash flow was negative.</w:t>
      </w:r>
    </w:p>
    <w:p>
      <w:pPr>
        <w:pStyle w:val="FirstParagraph"/>
      </w:pPr>
      <w:r>
        <w:t xml:space="preserve">The constructive outcome is a high-end revenue result, stable-to-improving gross-margin trends, and an outlook that preserves double-digit operating-income growth. The less constructive outcome would be a GMV beat funded by marketing and transaction-loss spending that causes a sharper-than-expected margin reset.</w:t>
      </w:r>
    </w:p>
    <w:p>
      <w:r>
        <w:pict>
          <v:rect style="width:0;height:1.5pt" o:hralign="center" o:hrstd="t" o:hr="t"/>
        </w:pict>
      </w:r>
    </w:p>
    <w:bookmarkEnd w:id="13"/>
    <w:bookmarkStart w:id="14" w:name="X6c8833e78615b3a1926d6f51bee24e0ddef8d56"/>
    <w:p>
      <w:pPr>
        <w:pStyle w:val="Heading3"/>
      </w:pPr>
      <w:r>
        <w:t xml:space="preserve">4. AI, C2C, and eBay Live are increasingly material—not just product narratives</w:t>
      </w:r>
    </w:p>
    <w:p>
      <w:pPr>
        <w:pStyle w:val="FirstParagraph"/>
      </w:pPr>
      <w:r>
        <w:t xml:space="preserve">The report should provide updates on three initiatives that increasingly underpin the growth story:</w:t>
      </w:r>
    </w:p>
    <w:p>
      <w:pPr>
        <w:pStyle w:val="Compact"/>
        <w:numPr>
          <w:ilvl w:val="0"/>
          <w:numId w:val="1005"/>
        </w:numPr>
      </w:pPr>
      <w:r>
        <w:rPr>
          <w:b/>
          <w:bCs/>
        </w:rPr>
        <w:t xml:space="preserve">Magical Listing:</w:t>
      </w:r>
      <w:r>
        <w:t xml:space="preserve"> </w:t>
      </w:r>
      <w:r>
        <w:t xml:space="preserve">Management said its AI listing tool drove more than a 50% increase in new-listing creation rates in its U.S. rollout, as well as higher sold items and GMV per lister. The key question is whether international expansion is producing comparable results.</w:t>
      </w:r>
    </w:p>
    <w:p>
      <w:pPr>
        <w:pStyle w:val="Compact"/>
        <w:numPr>
          <w:ilvl w:val="0"/>
          <w:numId w:val="1005"/>
        </w:numPr>
      </w:pPr>
      <w:r>
        <w:rPr>
          <w:b/>
          <w:bCs/>
        </w:rPr>
        <w:t xml:space="preserve">Agentic Search:</w:t>
      </w:r>
      <w:r>
        <w:t xml:space="preserve"> </w:t>
      </w:r>
      <w:r>
        <w:t xml:space="preserve">Early beta users showed roughly 50% higher search engagement and double-digit increases in purchase behavior. Investors should distinguish between encouraging test metrics and material marketplace-wide contribution.</w:t>
      </w:r>
    </w:p>
    <w:p>
      <w:pPr>
        <w:pStyle w:val="Compact"/>
        <w:numPr>
          <w:ilvl w:val="0"/>
          <w:numId w:val="1005"/>
        </w:numPr>
      </w:pPr>
      <w:r>
        <w:rPr>
          <w:b/>
          <w:bCs/>
        </w:rPr>
        <w:t xml:space="preserve">eBay Live:</w:t>
      </w:r>
      <w:r>
        <w:t xml:space="preserve"> </w:t>
      </w:r>
      <w:r>
        <w:t xml:space="preserve">The company said Live had reached an annualized GMV run rate more than eight times higher year over year in recent weeks. Its strategic value is clear in collectibles and fashion, but its lower take-rate and earlier-stage economics mean investors should ask about monetization and profitability as it scales.</w:t>
      </w:r>
    </w:p>
    <w:p>
      <w:pPr>
        <w:pStyle w:val="FirstParagraph"/>
      </w:pPr>
      <w:r>
        <w:t xml:space="preserve">These initiatives matter because they can broaden supply, improve buyer conversion, deepen seller engagement, and potentially make eBay’s marketplace more relevant in an AI-mediated commerce environment.</w:t>
      </w:r>
    </w:p>
    <w:p>
      <w:r>
        <w:pict>
          <v:rect style="width:0;height:1.5pt" o:hralign="center" o:hrstd="t" o:hr="t"/>
        </w:pict>
      </w:r>
    </w:p>
    <w:bookmarkEnd w:id="14"/>
    <w:bookmarkStart w:id="15" w:name="Xd61a8dd40f8c1d3541b982d36d19d4187246cbe"/>
    <w:p>
      <w:pPr>
        <w:pStyle w:val="Heading3"/>
      </w:pPr>
      <w:r>
        <w:t xml:space="preserve">5. Depop: timing, funding, and dilution are key Q3 issues</w:t>
      </w:r>
    </w:p>
    <w:p>
      <w:pPr>
        <w:pStyle w:val="FirstParagraph"/>
      </w:pPr>
      <w:r>
        <w:t xml:space="preserve">eBay’s planned</w:t>
      </w:r>
      <w:r>
        <w:t xml:space="preserve"> </w:t>
      </w:r>
      <w:r>
        <w:rPr>
          <w:b/>
          <w:bCs/>
        </w:rPr>
        <w:t xml:space="preserve">$1.2 billion cash acquisition of Depop</w:t>
      </w:r>
      <w:r>
        <w:t xml:space="preserve"> </w:t>
      </w:r>
      <w:r>
        <w:t xml:space="preserve">is expected to close by the end of Q3, subject to remaining approvals. In April, management said the deal was expected to:</w:t>
      </w:r>
    </w:p>
    <w:p>
      <w:pPr>
        <w:pStyle w:val="Compact"/>
        <w:numPr>
          <w:ilvl w:val="0"/>
          <w:numId w:val="1006"/>
        </w:numPr>
      </w:pPr>
      <w:r>
        <w:t xml:space="preserve">Add roughly</w:t>
      </w:r>
      <w:r>
        <w:t xml:space="preserve"> </w:t>
      </w:r>
      <w:r>
        <w:rPr>
          <w:b/>
          <w:bCs/>
        </w:rPr>
        <w:t xml:space="preserve">one percentage point</w:t>
      </w:r>
      <w:r>
        <w:t xml:space="preserve"> </w:t>
      </w:r>
      <w:r>
        <w:t xml:space="preserve">to 2026 FX-neutral GMV growth;</w:t>
      </w:r>
    </w:p>
    <w:p>
      <w:pPr>
        <w:pStyle w:val="Compact"/>
        <w:numPr>
          <w:ilvl w:val="0"/>
          <w:numId w:val="1006"/>
        </w:numPr>
      </w:pPr>
      <w:r>
        <w:t xml:space="preserve">Create a</w:t>
      </w:r>
      <w:r>
        <w:t xml:space="preserve"> </w:t>
      </w:r>
      <w:r>
        <w:rPr>
          <w:b/>
          <w:bCs/>
        </w:rPr>
        <w:t xml:space="preserve">low-single-digit headwind</w:t>
      </w:r>
      <w:r>
        <w:t xml:space="preserve"> </w:t>
      </w:r>
      <w:r>
        <w:t xml:space="preserve">to operating-income growth; and</w:t>
      </w:r>
    </w:p>
    <w:p>
      <w:pPr>
        <w:pStyle w:val="Compact"/>
        <w:numPr>
          <w:ilvl w:val="0"/>
          <w:numId w:val="1006"/>
        </w:numPr>
      </w:pPr>
      <w:r>
        <w:t xml:space="preserve">Dilute non-GAAP EPS growth by a low-single-digit percentage, with the EPS impact somewhat larger because eBay will forgo interest income on the cash used.</w:t>
      </w:r>
    </w:p>
    <w:p>
      <w:pPr>
        <w:pStyle w:val="FirstParagraph"/>
      </w:pPr>
      <w:r>
        <w:t xml:space="preserve">The Q2 report is an opportunity for management to clarify:</w:t>
      </w:r>
    </w:p>
    <w:p>
      <w:pPr>
        <w:pStyle w:val="Compact"/>
        <w:numPr>
          <w:ilvl w:val="0"/>
          <w:numId w:val="1007"/>
        </w:numPr>
      </w:pPr>
      <w:r>
        <w:t xml:space="preserve">Whether remaining regulatory approvals remain on track;</w:t>
      </w:r>
    </w:p>
    <w:p>
      <w:pPr>
        <w:pStyle w:val="Compact"/>
        <w:numPr>
          <w:ilvl w:val="0"/>
          <w:numId w:val="1007"/>
        </w:numPr>
      </w:pPr>
      <w:r>
        <w:t xml:space="preserve">Whether the expected closing date has narrowed;</w:t>
      </w:r>
    </w:p>
    <w:p>
      <w:pPr>
        <w:pStyle w:val="Compact"/>
        <w:numPr>
          <w:ilvl w:val="0"/>
          <w:numId w:val="1007"/>
        </w:numPr>
      </w:pPr>
      <w:r>
        <w:t xml:space="preserve">The expected Q3/Q4 revenue and GMV contribution;</w:t>
      </w:r>
    </w:p>
    <w:p>
      <w:pPr>
        <w:pStyle w:val="Compact"/>
        <w:numPr>
          <w:ilvl w:val="0"/>
          <w:numId w:val="1007"/>
        </w:numPr>
      </w:pPr>
      <w:r>
        <w:t xml:space="preserve">Integration priorities and marketing investment needs; and</w:t>
      </w:r>
    </w:p>
    <w:p>
      <w:pPr>
        <w:pStyle w:val="Compact"/>
        <w:numPr>
          <w:ilvl w:val="0"/>
          <w:numId w:val="1007"/>
        </w:numPr>
      </w:pPr>
      <w:r>
        <w:t xml:space="preserve">Whether capital-return plans remain intact after cash funding the acquisition.</w:t>
      </w:r>
    </w:p>
    <w:p>
      <w:pPr>
        <w:pStyle w:val="FirstParagraph"/>
      </w:pPr>
      <w:r>
        <w:t xml:space="preserve">Strategically, Depop expands eBay’s fashion and younger C2C-user exposure. Financially, it is likely to make the near-term earnings setup more complicated and could constrain the pace of buybacks.</w:t>
      </w:r>
    </w:p>
    <w:p>
      <w:r>
        <w:pict>
          <v:rect style="width:0;height:1.5pt" o:hralign="center" o:hrstd="t" o:hr="t"/>
        </w:pict>
      </w:r>
    </w:p>
    <w:bookmarkEnd w:id="15"/>
    <w:bookmarkStart w:id="16" w:name="X1cef40e12bf4b02d1ee0bc39cc338c0a830d627"/>
    <w:p>
      <w:pPr>
        <w:pStyle w:val="Heading3"/>
      </w:pPr>
      <w:r>
        <w:t xml:space="preserve">6. The recently announced harassment-case settlement is a headline risk</w:t>
      </w:r>
    </w:p>
    <w:p>
      <w:pPr>
        <w:pStyle w:val="FirstParagraph"/>
      </w:pPr>
      <w:r>
        <w:t xml:space="preserve">In late July, eBay and former executives agreed to a</w:t>
      </w:r>
      <w:r>
        <w:t xml:space="preserve"> </w:t>
      </w:r>
      <m:oMath>
        <m:r>
          <m:t>56</m:t>
        </m:r>
        <m:r>
          <m:t>m</m:t>
        </m:r>
        <m:r>
          <m:t>i</m:t>
        </m:r>
        <m:r>
          <m:t>l</m:t>
        </m:r>
        <m:r>
          <m:t>l</m:t>
        </m:r>
        <m:r>
          <m:t>i</m:t>
        </m:r>
        <m:r>
          <m:t>o</m:t>
        </m:r>
        <m:r>
          <m:t>n</m:t>
        </m:r>
        <m:r>
          <m:t>s</m:t>
        </m:r>
        <m:r>
          <m:t>e</m:t>
        </m:r>
        <m:r>
          <m:t>t</m:t>
        </m:r>
        <m:r>
          <m:t>t</m:t>
        </m:r>
        <m:r>
          <m:t>l</m:t>
        </m:r>
        <m:r>
          <m:t>e</m:t>
        </m:r>
        <m:r>
          <m:t>m</m:t>
        </m:r>
        <m:r>
          <m:t>e</m:t>
        </m:r>
        <m:r>
          <m:t>n</m:t>
        </m:r>
        <m:r>
          <m:t>t</m:t>
        </m:r>
        <m:r>
          <m:rPr>
            <m:sty m:val="p"/>
          </m:rPr>
          <m:t>*</m:t>
        </m:r>
        <m:r>
          <m:rPr>
            <m:sty m:val="p"/>
          </m:rPr>
          <m:t>*</m:t>
        </m:r>
        <m:r>
          <m:t>r</m:t>
        </m:r>
        <m:r>
          <m:t>e</m:t>
        </m:r>
        <m:r>
          <m:t>l</m:t>
        </m:r>
        <m:r>
          <m:t>a</m:t>
        </m:r>
        <m:r>
          <m:t>t</m:t>
        </m:r>
        <m:r>
          <m:t>e</m:t>
        </m:r>
        <m:r>
          <m:t>d</m:t>
        </m:r>
        <m:r>
          <m:t>t</m:t>
        </m:r>
        <m:r>
          <m:t>o</m:t>
        </m:r>
        <m:r>
          <m:t>t</m:t>
        </m:r>
        <m:r>
          <m:t>h</m:t>
        </m:r>
        <m:r>
          <m:t>e</m:t>
        </m:r>
        <m:r>
          <m:t>2019</m:t>
        </m:r>
        <m:r>
          <m:t>h</m:t>
        </m:r>
        <m:r>
          <m:t>a</m:t>
        </m:r>
        <m:r>
          <m:t>r</m:t>
        </m:r>
        <m:r>
          <m:t>a</m:t>
        </m:r>
        <m:r>
          <m:t>s</m:t>
        </m:r>
        <m:r>
          <m:t>s</m:t>
        </m:r>
        <m:r>
          <m:t>m</m:t>
        </m:r>
        <m:r>
          <m:t>e</m:t>
        </m:r>
        <m:r>
          <m:t>n</m:t>
        </m:r>
        <m:r>
          <m:t>t</m:t>
        </m:r>
        <m:r>
          <m:t>c</m:t>
        </m:r>
        <m:r>
          <m:t>a</m:t>
        </m:r>
        <m:r>
          <m:t>m</m:t>
        </m:r>
        <m:r>
          <m:t>p</m:t>
        </m:r>
        <m:r>
          <m:t>a</m:t>
        </m:r>
        <m:r>
          <m:t>i</m:t>
        </m:r>
        <m:r>
          <m:t>g</m:t>
        </m:r>
        <m:r>
          <m:t>n</m:t>
        </m:r>
        <m:r>
          <m:t>a</m:t>
        </m:r>
        <m:r>
          <m:t>g</m:t>
        </m:r>
        <m:r>
          <m:t>a</m:t>
        </m:r>
        <m:r>
          <m:t>i</m:t>
        </m:r>
        <m:r>
          <m:t>n</m:t>
        </m:r>
        <m:r>
          <m:t>s</m:t>
        </m:r>
        <m:r>
          <m:t>t</m:t>
        </m:r>
        <m:r>
          <m:t>t</m:t>
        </m:r>
        <m:r>
          <m:t>h</m:t>
        </m:r>
        <m:r>
          <m:t>e</m:t>
        </m:r>
        <m:r>
          <m:t>o</m:t>
        </m:r>
        <m:r>
          <m:t>p</m:t>
        </m:r>
        <m:r>
          <m:t>e</m:t>
        </m:r>
        <m:r>
          <m:t>r</m:t>
        </m:r>
        <m:r>
          <m:t>a</m:t>
        </m:r>
        <m:r>
          <m:t>t</m:t>
        </m:r>
        <m:r>
          <m:t>o</m:t>
        </m:r>
        <m:r>
          <m:t>r</m:t>
        </m:r>
        <m:r>
          <m:t>s</m:t>
        </m:r>
        <m:r>
          <m:t>o</m:t>
        </m:r>
        <m:r>
          <m:t>f</m:t>
        </m:r>
        <m:r>
          <m:t>a</m:t>
        </m:r>
        <m:r>
          <m:t>n</m:t>
        </m:r>
        <m:r>
          <m:t>e</m:t>
        </m:r>
        <m:r>
          <m:rPr>
            <m:sty m:val="p"/>
          </m:rPr>
          <m:t>−</m:t>
        </m:r>
        <m:r>
          <m:t>c</m:t>
        </m:r>
        <m:r>
          <m:t>o</m:t>
        </m:r>
        <m:r>
          <m:t>m</m:t>
        </m:r>
        <m:r>
          <m:t>m</m:t>
        </m:r>
        <m:r>
          <m:t>e</m:t>
        </m:r>
        <m:r>
          <m:t>r</m:t>
        </m:r>
        <m:r>
          <m:t>c</m:t>
        </m:r>
        <m:r>
          <m:t>e</m:t>
        </m:r>
        <m:r>
          <m:t>n</m:t>
        </m:r>
        <m:r>
          <m:t>e</m:t>
        </m:r>
        <m:r>
          <m:t>w</m:t>
        </m:r>
        <m:r>
          <m:t>s</m:t>
        </m:r>
        <m:r>
          <m:t>l</m:t>
        </m:r>
        <m:r>
          <m:t>e</m:t>
        </m:r>
        <m:r>
          <m:t>t</m:t>
        </m:r>
        <m:r>
          <m:t>t</m:t>
        </m:r>
        <m:r>
          <m:t>e</m:t>
        </m:r>
        <m:r>
          <m:t>r</m:t>
        </m:r>
        <m:r>
          <m:rPr>
            <m:sty m:val="p"/>
          </m:rPr>
          <m:t>.</m:t>
        </m:r>
        <m:r>
          <m:t>R</m:t>
        </m:r>
        <m:r>
          <m:t>e</m:t>
        </m:r>
        <m:r>
          <m:t>p</m:t>
        </m:r>
        <m:r>
          <m:t>o</m:t>
        </m:r>
        <m:r>
          <m:t>r</m:t>
        </m:r>
        <m:r>
          <m:t>t</m:t>
        </m:r>
        <m:r>
          <m:t>e</m:t>
        </m:r>
        <m:r>
          <m:t>d</m:t>
        </m:r>
        <m:r>
          <m:t>p</m:t>
        </m:r>
        <m:r>
          <m:t>a</m:t>
        </m:r>
        <m:r>
          <m:t>y</m:t>
        </m:r>
        <m:r>
          <m:t>m</m:t>
        </m:r>
        <m:r>
          <m:t>e</m:t>
        </m:r>
        <m:r>
          <m:t>n</m:t>
        </m:r>
        <m:r>
          <m:t>t</m:t>
        </m:r>
        <m:r>
          <m:t>s</m:t>
        </m:r>
        <m:r>
          <m:t>i</m:t>
        </m:r>
        <m:r>
          <m:t>n</m:t>
        </m:r>
        <m:r>
          <m:t>c</m:t>
        </m:r>
        <m:r>
          <m:t>l</m:t>
        </m:r>
        <m:r>
          <m:t>u</m:t>
        </m:r>
        <m:r>
          <m:t>d</m:t>
        </m:r>
        <m:r>
          <m:t>e</m:t>
        </m:r>
        <m:r>
          <m:rPr>
            <m:sty m:val="p"/>
          </m:rPr>
          <m:t>*</m:t>
        </m:r>
        <m:r>
          <m:rPr>
            <m:sty m:val="p"/>
          </m:rPr>
          <m:t>*</m:t>
        </m:r>
      </m:oMath>
      <w:r>
        <w:rPr>
          <w:b/>
          <w:bCs/>
        </w:rPr>
        <w:t xml:space="preserve">46.15 million from eBay</w:t>
      </w:r>
      <w:r>
        <w:t xml:space="preserve"> </w:t>
      </w:r>
      <w:r>
        <w:t xml:space="preserve">itself.</w:t>
      </w:r>
    </w:p>
    <w:p>
      <w:pPr>
        <w:pStyle w:val="BodyText"/>
      </w:pPr>
      <w:r>
        <w:t xml:space="preserve">This should not change the core marketplace thesis, but investors should listen for disclosure on whether the cost was previously accrued, whether it affects Q2 GAAP results or cash flow, and whether management expects any further related liabilities. The bigger near-term issue is likely governance and reputational overhang rather than operating impact.</w:t>
      </w:r>
    </w:p>
    <w:p>
      <w:r>
        <w:pict>
          <v:rect style="width:0;height:1.5pt" o:hralign="center" o:hrstd="t" o:hr="t"/>
        </w:pict>
      </w:r>
    </w:p>
    <w:bookmarkEnd w:id="16"/>
    <w:bookmarkEnd w:id="17"/>
    <w:bookmarkStart w:id="18" w:name="bull-case-into-the-print"/>
    <w:p>
      <w:pPr>
        <w:pStyle w:val="Heading2"/>
      </w:pPr>
      <w:r>
        <w:t xml:space="preserve">Bull case into the print</w:t>
      </w:r>
    </w:p>
    <w:p>
      <w:pPr>
        <w:pStyle w:val="FirstParagraph"/>
      </w:pPr>
      <w:r>
        <w:t xml:space="preserve">A positive setup would be:</w:t>
      </w:r>
    </w:p>
    <w:p>
      <w:pPr>
        <w:pStyle w:val="Compact"/>
        <w:numPr>
          <w:ilvl w:val="0"/>
          <w:numId w:val="1008"/>
        </w:numPr>
      </w:pPr>
      <w:r>
        <w:t xml:space="preserve">GMV, revenue, and EPS at or above the high end of Q2 guidance;</w:t>
      </w:r>
    </w:p>
    <w:p>
      <w:pPr>
        <w:pStyle w:val="Compact"/>
        <w:numPr>
          <w:ilvl w:val="0"/>
          <w:numId w:val="1008"/>
        </w:numPr>
      </w:pPr>
      <w:r>
        <w:t xml:space="preserve">Continued double-digit—or better—U.S. GMV growth;</w:t>
      </w:r>
    </w:p>
    <w:p>
      <w:pPr>
        <w:pStyle w:val="Compact"/>
        <w:numPr>
          <w:ilvl w:val="0"/>
          <w:numId w:val="1008"/>
        </w:numPr>
      </w:pPr>
      <w:r>
        <w:t xml:space="preserve">Advertising materially outgrowing GMV;</w:t>
      </w:r>
    </w:p>
    <w:p>
      <w:pPr>
        <w:pStyle w:val="Compact"/>
        <w:numPr>
          <w:ilvl w:val="0"/>
          <w:numId w:val="1008"/>
        </w:numPr>
      </w:pPr>
      <w:r>
        <w:t xml:space="preserve">Evidence that C2C, fashion, Motors, and Live are contributing beyond collectibles;</w:t>
      </w:r>
    </w:p>
    <w:p>
      <w:pPr>
        <w:pStyle w:val="Compact"/>
        <w:numPr>
          <w:ilvl w:val="0"/>
          <w:numId w:val="1008"/>
        </w:numPr>
      </w:pPr>
      <w:r>
        <w:t xml:space="preserve">Stable transaction-loss trends and margins near the upper end of guidance;</w:t>
      </w:r>
    </w:p>
    <w:p>
      <w:pPr>
        <w:pStyle w:val="Compact"/>
        <w:numPr>
          <w:ilvl w:val="0"/>
          <w:numId w:val="1008"/>
        </w:numPr>
      </w:pPr>
      <w:r>
        <w:t xml:space="preserve">Full-year GMV and operating-income guidance reiterated or raised; and</w:t>
      </w:r>
    </w:p>
    <w:p>
      <w:pPr>
        <w:pStyle w:val="Compact"/>
        <w:numPr>
          <w:ilvl w:val="0"/>
          <w:numId w:val="1008"/>
        </w:numPr>
      </w:pPr>
      <w:r>
        <w:t xml:space="preserve">Confirmation that Depop closes on schedule with dilution contained as previously outlined.</w:t>
      </w:r>
    </w:p>
    <w:p>
      <w:pPr>
        <w:pStyle w:val="FirstParagraph"/>
      </w:pPr>
      <w:r>
        <w:t xml:space="preserve">Under that outcome, investors could view eBay as a structurally improving marketplace that is pairing faster top-line growth with substantial cash generation and ongoing capital returns.</w:t>
      </w:r>
    </w:p>
    <w:p>
      <w:r>
        <w:pict>
          <v:rect style="width:0;height:1.5pt" o:hralign="center" o:hrstd="t" o:hr="t"/>
        </w:pict>
      </w:r>
    </w:p>
    <w:bookmarkEnd w:id="18"/>
    <w:bookmarkStart w:id="19" w:name="bear-case-into-the-print"/>
    <w:p>
      <w:pPr>
        <w:pStyle w:val="Heading2"/>
      </w:pPr>
      <w:r>
        <w:t xml:space="preserve">Bear case into the print</w:t>
      </w:r>
    </w:p>
    <w:p>
      <w:pPr>
        <w:pStyle w:val="FirstParagraph"/>
      </w:pPr>
      <w:r>
        <w:t xml:space="preserve">The risks are:</w:t>
      </w:r>
    </w:p>
    <w:p>
      <w:pPr>
        <w:pStyle w:val="Compact"/>
        <w:numPr>
          <w:ilvl w:val="0"/>
          <w:numId w:val="1009"/>
        </w:numPr>
      </w:pPr>
      <w:r>
        <w:t xml:space="preserve">GMV lands near the low end of the range, particularly if collectibles/bullion normalize faster than expected;</w:t>
      </w:r>
    </w:p>
    <w:p>
      <w:pPr>
        <w:pStyle w:val="Compact"/>
        <w:numPr>
          <w:ilvl w:val="0"/>
          <w:numId w:val="1009"/>
        </w:numPr>
      </w:pPr>
      <w:r>
        <w:t xml:space="preserve">U.S. buyer growth or engagement moderates materially;</w:t>
      </w:r>
    </w:p>
    <w:p>
      <w:pPr>
        <w:pStyle w:val="Compact"/>
        <w:numPr>
          <w:ilvl w:val="0"/>
          <w:numId w:val="1009"/>
        </w:numPr>
      </w:pPr>
      <w:r>
        <w:t xml:space="preserve">Europe remains weak enough to offset domestic progress;</w:t>
      </w:r>
    </w:p>
    <w:p>
      <w:pPr>
        <w:pStyle w:val="Compact"/>
        <w:numPr>
          <w:ilvl w:val="0"/>
          <w:numId w:val="1009"/>
        </w:numPr>
      </w:pPr>
      <w:r>
        <w:t xml:space="preserve">Advertising growth slows disproportionately;</w:t>
      </w:r>
    </w:p>
    <w:p>
      <w:pPr>
        <w:pStyle w:val="Compact"/>
        <w:numPr>
          <w:ilvl w:val="0"/>
          <w:numId w:val="1009"/>
        </w:numPr>
      </w:pPr>
      <w:r>
        <w:t xml:space="preserve">Marketing, shipping, fraud, and transaction losses pressure margins more than expected;</w:t>
      </w:r>
    </w:p>
    <w:p>
      <w:pPr>
        <w:pStyle w:val="Compact"/>
        <w:numPr>
          <w:ilvl w:val="0"/>
          <w:numId w:val="1009"/>
        </w:numPr>
      </w:pPr>
      <w:r>
        <w:t xml:space="preserve">Full-year guidance is maintained but appears less achievable given tougher second-half comparisons;</w:t>
      </w:r>
    </w:p>
    <w:p>
      <w:pPr>
        <w:pStyle w:val="Compact"/>
        <w:numPr>
          <w:ilvl w:val="0"/>
          <w:numId w:val="1009"/>
        </w:numPr>
      </w:pPr>
      <w:r>
        <w:t xml:space="preserve">Depop timing, deal economics, or integration costs worsen; or</w:t>
      </w:r>
    </w:p>
    <w:p>
      <w:pPr>
        <w:pStyle w:val="Compact"/>
        <w:numPr>
          <w:ilvl w:val="0"/>
          <w:numId w:val="1009"/>
        </w:numPr>
      </w:pPr>
      <w:r>
        <w:t xml:space="preserve">The settlement produces an unexpected GAAP or cash-flow charge.</w:t>
      </w:r>
    </w:p>
    <w:p>
      <w:pPr>
        <w:pStyle w:val="FirstParagraph"/>
      </w:pPr>
      <w:r>
        <w:t xml:space="preserve">The most important downside scenario is not necessarily a Q2 miss; it is a result that calls into question whether Q1’s acceleration represented durable marketplace improvement rather than a convergence of favorable category, marketing, FX, and comparison effects.</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eBay’s Q2 report is primarily a</w:t>
      </w:r>
      <w:r>
        <w:t xml:space="preserve"> </w:t>
      </w:r>
      <w:r>
        <w:rPr>
          <w:b/>
          <w:bCs/>
        </w:rPr>
        <w:t xml:space="preserve">durability test</w:t>
      </w:r>
      <w:r>
        <w:t xml:space="preserve">. The company has already demonstrated an encouraging Q1 acceleration and upgraded its 2026 growth outlook. For the stock, investors likely need confirmation that GMV strength remains broad, advertising continues to improve monetization, and incremental spending is producing growth rather than merely buying it.</w:t>
      </w:r>
    </w:p>
    <w:p>
      <w:pPr>
        <w:pStyle w:val="BodyText"/>
      </w:pPr>
      <w:r>
        <w:rPr>
          <w:b/>
          <w:bCs/>
        </w:rPr>
        <w:t xml:space="preserve">My focus hierarchy for the release and call:</w:t>
      </w:r>
    </w:p>
    <w:p>
      <w:pPr>
        <w:pStyle w:val="Compact"/>
        <w:numPr>
          <w:ilvl w:val="0"/>
          <w:numId w:val="1010"/>
        </w:numPr>
      </w:pPr>
      <w:r>
        <w:rPr>
          <w:b/>
          <w:bCs/>
        </w:rPr>
        <w:t xml:space="preserve">Q3 and full-year GMV/revenue outlook;</w:t>
      </w:r>
    </w:p>
    <w:p>
      <w:pPr>
        <w:pStyle w:val="Compact"/>
        <w:numPr>
          <w:ilvl w:val="0"/>
          <w:numId w:val="1010"/>
        </w:numPr>
      </w:pPr>
      <w:r>
        <w:rPr>
          <w:b/>
          <w:bCs/>
        </w:rPr>
        <w:t xml:space="preserve">U.S. GMV, buyer, and category trends;</w:t>
      </w:r>
    </w:p>
    <w:p>
      <w:pPr>
        <w:pStyle w:val="Compact"/>
        <w:numPr>
          <w:ilvl w:val="0"/>
          <w:numId w:val="1010"/>
        </w:numPr>
      </w:pPr>
      <w:r>
        <w:rPr>
          <w:b/>
          <w:bCs/>
        </w:rPr>
        <w:t xml:space="preserve">Advertising growth and take-rate trajectory;</w:t>
      </w:r>
    </w:p>
    <w:p>
      <w:pPr>
        <w:pStyle w:val="Compact"/>
        <w:numPr>
          <w:ilvl w:val="0"/>
          <w:numId w:val="1010"/>
        </w:numPr>
      </w:pPr>
      <w:r>
        <w:rPr>
          <w:b/>
          <w:bCs/>
        </w:rPr>
        <w:t xml:space="preserve">Operating-margin and transaction-loss commentary;</w:t>
      </w:r>
    </w:p>
    <w:p>
      <w:pPr>
        <w:pStyle w:val="Compact"/>
        <w:numPr>
          <w:ilvl w:val="0"/>
          <w:numId w:val="1010"/>
        </w:numPr>
      </w:pPr>
      <w:r>
        <w:rPr>
          <w:b/>
          <w:bCs/>
        </w:rPr>
        <w:t xml:space="preserve">Depop closing timing and dilution;</w:t>
      </w:r>
    </w:p>
    <w:p>
      <w:pPr>
        <w:pStyle w:val="Compact"/>
        <w:numPr>
          <w:ilvl w:val="0"/>
          <w:numId w:val="1010"/>
        </w:numPr>
      </w:pPr>
      <w:r>
        <w:rPr>
          <w:b/>
          <w:bCs/>
        </w:rPr>
        <w:t xml:space="preserve">Any accounting or cash-flow implications from the harassment settlement.</w:t>
      </w:r>
    </w:p>
    <w:p>
      <w:pPr>
        <w:pStyle w:val="FirstParagraph"/>
      </w:pPr>
      <w:r>
        <w:rPr>
          <w:i/>
          <w:iCs/>
        </w:rPr>
        <w:t xml:space="preserve">Sources used: eBay Q1 2026 earnings release, Q1 2026 earnings-call transcript, Q1 2026 Form 10-Q, Q2 2025 earnings release, recent EBAY news digest, and recent share-price data.</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2026-08-05T01:18:19Z</dcterms:created>
  <dcterms:modified xsi:type="dcterms:W3CDTF">2026-08-05T01:18:19Z</dcterms:modified>
</cp:coreProperties>
</file>

<file path=docProps/custom.xml><?xml version="1.0" encoding="utf-8"?>
<Properties xmlns="http://schemas.openxmlformats.org/officeDocument/2006/custom-properties" xmlns:vt="http://schemas.openxmlformats.org/officeDocument/2006/docPropsVTypes"/>
</file>