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eBay Inc. (EBAY)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eBay Inc. (NASDAQ: EBAY)</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(after market close)</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bl>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Setup is mixed — consensus is a manageable bar on GMV and revenue, but a last-minute Wells Fargo downgrade and Depop-related EPS dilution risk have raised the stakes on Q3 guidance, making the forward outlook the single biggest swing factor.</w:t>
      </w:r>
    </w:p>
    <w:p>
      <w:r>
        <w:rPr>
          <w:rFonts w:ascii="Calibri" w:hAnsi="Calibri"/>
          <w:color w:val="525866"/>
          <w:sz w:val="22"/>
        </w:rPr>
        <w:t xml:space="preserve">Heading into Q2 2026, eBay faces a consensus bar that is achievable on the top line — management guided GMV of $21.3–$21.7B and revenue of $2.97–$3.03B, and the Street sits at $21.6B and $3.02B respectively — but the EPS bar is tighter, with consensus at ~$1.51 against guidance of $1.46–$1.51, leaving little room for Depop-related cost surprises. </w:t>
      </w:r>
      <w:r>
        <w:rPr>
          <w:rFonts w:ascii="Calibri" w:hAnsi="Calibri"/>
          <w:color w:val="525866"/>
          <w:sz w:val="22"/>
        </w:rPr>
        <w:t>Management's tone on the Q1 call was constructive but deliberately cautious on Q2, explicitly flagging lapping headwinds from the Klarna partnership, lower-funnel marketing efficiencies, and bullion normalization as the primary drivers of the implied deceleration from Q1's 14% FX-neutral GMV growth to guided 8–10% in Q2.</w:t>
      </w:r>
      <w:r>
        <w:rPr>
          <w:rFonts w:ascii="Calibri" w:hAnsi="Calibri"/>
          <w:color w:val="525866"/>
          <w:sz w:val="22"/>
        </w:rPr>
        <w:t xml:space="preserve"> Estimate revisions since the Q1 print have been largely stable — the Street has not materially moved numbers up or down — suggesting the bar is neither stretched nor sandbagged, though the Depop acquisition closing on July 30 introduces incremental EPS dilution that was not fully priced into consensus at the time of the Q1 call. </w:t>
      </w:r>
      <w:r>
        <w:rPr>
          <w:rFonts w:ascii="Calibri" w:hAnsi="Calibri"/>
          <w:color w:val="525866"/>
          <w:sz w:val="22"/>
        </w:rPr>
        <w:t xml:space="preserve">The stock has gained ~5.6% since the Q1 earnings date (vs. SPY +8.4% and XRT +10.2%), underperforming both the market and the retail ETF, which reflects investor caution around the Depop integration cost and the Wells Fargo downgrade to Underweight on August 3 (PT cut to $92 from $105) citing intensifying competition from Vinted in fashion resale. </w:t>
      </w:r>
      <w:r>
        <w:rPr>
          <w:rFonts w:ascii="Calibri" w:hAnsi="Calibri"/>
          <w:color w:val="525866"/>
          <w:sz w:val="22"/>
        </w:rPr>
        <w:t xml:space="preserve">The key wildcard is Q3 guidance: </w:t>
      </w:r>
      <w:r>
        <w:rPr>
          <w:rFonts w:ascii="Calibri" w:hAnsi="Calibri"/>
          <w:color w:val="525866"/>
          <w:sz w:val="22"/>
        </w:rPr>
        <w:t>if management can demonstrate that Depop dilution is contained and that underlying GMV momentum (ex-bullion, ex-lapping) remains durable into the second half, the stock could re-rate; conversely, a cautious Q3 EPS guide that confirms the Wells Fargo thesis on margin compression would likely pressure shares further.</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Consensus is a manageable bar on GMV and revenue, sitting near the midpoint of guidance; EPS is the tighter call, with the Street at the top of the guided range and Depop dilution risk now live following the July 30 close. GMV is the bigger swing factor — any upside vs. the $21.3–$21.7B guide will set the tone.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(Cons. vs. PY)</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($B)</w:t>
            </w:r>
          </w:p>
        </w:tc>
        <w:tc>
          <w:tcPr>
            <w:tcW w:type="dxa" w:w="1234"/>
          </w:tcPr>
          <w:p>
            <w:r>
              <w:rPr>
                <w:rFonts w:ascii="Calibri" w:hAnsi="Calibri"/>
                <w:sz w:val="22"/>
              </w:rPr>
              <w:t>$3.089B</w:t>
            </w:r>
          </w:p>
        </w:tc>
        <w:tc>
          <w:tcPr>
            <w:tcW w:type="dxa" w:w="1234"/>
          </w:tcPr>
          <w:p>
            <w:r>
              <w:rPr>
                <w:rFonts w:ascii="Calibri" w:hAnsi="Calibri"/>
                <w:sz w:val="22"/>
              </w:rPr>
              <w:t>$2.730B</w:t>
            </w:r>
          </w:p>
        </w:tc>
        <w:tc>
          <w:tcPr>
            <w:tcW w:type="dxa" w:w="1234"/>
          </w:tcPr>
          <w:p>
            <w:r>
              <w:rPr>
                <w:rFonts w:ascii="Calibri" w:hAnsi="Calibri"/>
                <w:sz w:val="22"/>
              </w:rPr>
              <w:t>$3.022B</w:t>
            </w:r>
          </w:p>
        </w:tc>
        <w:tc>
          <w:tcPr>
            <w:tcW w:type="dxa" w:w="1234"/>
          </w:tcPr>
          <w:p>
            <w:r>
              <w:rPr>
                <w:rFonts w:ascii="Calibri" w:hAnsi="Calibri"/>
                <w:sz w:val="22"/>
              </w:rPr>
              <w:t>+10.7%</w:t>
            </w:r>
          </w:p>
        </w:tc>
        <w:tc>
          <w:tcPr>
            <w:tcW w:type="dxa" w:w="1234"/>
          </w:tcPr>
          <w:p>
            <w:r>
              <w:rPr>
                <w:rFonts w:ascii="Calibri" w:hAnsi="Calibri"/>
                <w:sz w:val="22"/>
              </w:rPr>
              <w:t>$2.97B–$3.03B (mid: $3.00B)</w:t>
            </w:r>
          </w:p>
        </w:tc>
        <w:tc>
          <w:tcPr>
            <w:tcW w:type="dxa" w:w="1234"/>
          </w:tcPr>
          <w:p>
            <w:r>
              <w:rPr>
                <w:rFonts w:ascii="Calibri" w:hAnsi="Calibri"/>
                <w:sz w:val="22"/>
              </w:rPr>
              <w:t>+0.7% above mid</w:t>
            </w:r>
          </w:p>
        </w:tc>
      </w:tr>
      <w:tr>
        <w:tc>
          <w:tcPr>
            <w:tcW w:type="dxa" w:w="1234"/>
          </w:tcPr>
          <w:p>
            <w:r>
              <w:rPr>
                <w:rFonts w:ascii="Calibri" w:hAnsi="Calibri"/>
                <w:sz w:val="22"/>
              </w:rPr>
              <w:t>GMV ($B)</w:t>
            </w:r>
          </w:p>
        </w:tc>
        <w:tc>
          <w:tcPr>
            <w:tcW w:type="dxa" w:w="1234"/>
          </w:tcPr>
          <w:p>
            <w:r>
              <w:rPr>
                <w:rFonts w:ascii="Calibri" w:hAnsi="Calibri"/>
                <w:sz w:val="22"/>
              </w:rPr>
              <w:t>$22.197B</w:t>
            </w:r>
          </w:p>
        </w:tc>
        <w:tc>
          <w:tcPr>
            <w:tcW w:type="dxa" w:w="1234"/>
          </w:tcPr>
          <w:p>
            <w:r>
              <w:rPr>
                <w:rFonts w:ascii="Calibri" w:hAnsi="Calibri"/>
                <w:sz w:val="22"/>
              </w:rPr>
              <w:t>$19.514B</w:t>
            </w:r>
          </w:p>
        </w:tc>
        <w:tc>
          <w:tcPr>
            <w:tcW w:type="dxa" w:w="1234"/>
          </w:tcPr>
          <w:p>
            <w:r>
              <w:rPr>
                <w:rFonts w:ascii="Calibri" w:hAnsi="Calibri"/>
                <w:sz w:val="22"/>
              </w:rPr>
              <w:t>$21.577B</w:t>
            </w:r>
          </w:p>
        </w:tc>
        <w:tc>
          <w:tcPr>
            <w:tcW w:type="dxa" w:w="1234"/>
          </w:tcPr>
          <w:p>
            <w:r>
              <w:rPr>
                <w:rFonts w:ascii="Calibri" w:hAnsi="Calibri"/>
                <w:sz w:val="22"/>
              </w:rPr>
              <w:t>+10.6%</w:t>
            </w:r>
          </w:p>
        </w:tc>
        <w:tc>
          <w:tcPr>
            <w:tcW w:type="dxa" w:w="1234"/>
          </w:tcPr>
          <w:p>
            <w:r>
              <w:rPr>
                <w:rFonts w:ascii="Calibri" w:hAnsi="Calibri"/>
                <w:sz w:val="22"/>
              </w:rPr>
              <w:t>$21.3B–$21.7B (mid: $21.5B)</w:t>
            </w:r>
          </w:p>
        </w:tc>
        <w:tc>
          <w:tcPr>
            <w:tcW w:type="dxa" w:w="1234"/>
          </w:tcPr>
          <w:p>
            <w:r>
              <w:rPr>
                <w:rFonts w:ascii="Calibri" w:hAnsi="Calibri"/>
                <w:sz w:val="22"/>
              </w:rPr>
              <w:t>+0.4% above mid</w:t>
            </w:r>
          </w:p>
        </w:tc>
      </w:tr>
      <w:tr>
        <w:tc>
          <w:tcPr>
            <w:tcW w:type="dxa" w:w="1234"/>
          </w:tcPr>
          <w:p>
            <w:r>
              <w:rPr>
                <w:rFonts w:ascii="Calibri" w:hAnsi="Calibri"/>
                <w:sz w:val="22"/>
              </w:rPr>
              <w:t>Non-GAAP EPS (Diluted)</w:t>
            </w:r>
          </w:p>
        </w:tc>
        <w:tc>
          <w:tcPr>
            <w:tcW w:type="dxa" w:w="1234"/>
          </w:tcPr>
          <w:p>
            <w:r>
              <w:rPr>
                <w:rFonts w:ascii="Calibri" w:hAnsi="Calibri"/>
                <w:sz w:val="22"/>
              </w:rPr>
              <w:t>$1.66</w:t>
            </w:r>
          </w:p>
        </w:tc>
        <w:tc>
          <w:tcPr>
            <w:tcW w:type="dxa" w:w="1234"/>
          </w:tcPr>
          <w:p>
            <w:r>
              <w:rPr>
                <w:rFonts w:ascii="Calibri" w:hAnsi="Calibri"/>
                <w:sz w:val="22"/>
              </w:rPr>
              <w:t>$1.362</w:t>
            </w:r>
          </w:p>
        </w:tc>
        <w:tc>
          <w:tcPr>
            <w:tcW w:type="dxa" w:w="1234"/>
          </w:tcPr>
          <w:p>
            <w:r>
              <w:rPr>
                <w:rFonts w:ascii="Calibri" w:hAnsi="Calibri"/>
                <w:sz w:val="22"/>
              </w:rPr>
              <w:t>$1.506</w:t>
            </w:r>
          </w:p>
        </w:tc>
        <w:tc>
          <w:tcPr>
            <w:tcW w:type="dxa" w:w="1234"/>
          </w:tcPr>
          <w:p>
            <w:r>
              <w:rPr>
                <w:rFonts w:ascii="Calibri" w:hAnsi="Calibri"/>
                <w:sz w:val="22"/>
              </w:rPr>
              <w:t>+10.6%</w:t>
            </w:r>
          </w:p>
        </w:tc>
        <w:tc>
          <w:tcPr>
            <w:tcW w:type="dxa" w:w="1234"/>
          </w:tcPr>
          <w:p>
            <w:r>
              <w:rPr>
                <w:rFonts w:ascii="Calibri" w:hAnsi="Calibri"/>
                <w:sz w:val="22"/>
              </w:rPr>
              <w:t>$1.46–$1.51 (mid: $1.485)</w:t>
            </w:r>
          </w:p>
        </w:tc>
        <w:tc>
          <w:tcPr>
            <w:tcW w:type="dxa" w:w="1234"/>
          </w:tcPr>
          <w:p>
            <w:r>
              <w:rPr>
                <w:rFonts w:ascii="Calibri" w:hAnsi="Calibri"/>
                <w:sz w:val="22"/>
              </w:rPr>
              <w:t>+1.4% above mid</w:t>
            </w:r>
          </w:p>
        </w:tc>
      </w:tr>
      <w:tr>
        <w:tc>
          <w:tcPr>
            <w:tcW w:type="dxa" w:w="1234"/>
          </w:tcPr>
          <w:p>
            <w:r>
              <w:rPr>
                <w:rFonts w:ascii="Calibri" w:hAnsi="Calibri"/>
                <w:sz w:val="22"/>
              </w:rPr>
              <w:t>Non-GAAP Operating Income ($M)</w:t>
            </w:r>
          </w:p>
        </w:tc>
        <w:tc>
          <w:tcPr>
            <w:tcW w:type="dxa" w:w="1234"/>
          </w:tcPr>
          <w:p>
            <w:r>
              <w:rPr>
                <w:rFonts w:ascii="Calibri" w:hAnsi="Calibri"/>
                <w:sz w:val="22"/>
              </w:rPr>
              <w:t>$907M</w:t>
            </w:r>
          </w:p>
        </w:tc>
        <w:tc>
          <w:tcPr>
            <w:tcW w:type="dxa" w:w="1234"/>
          </w:tcPr>
          <w:p>
            <w:r>
              <w:rPr>
                <w:rFonts w:ascii="Calibri" w:hAnsi="Calibri"/>
                <w:sz w:val="22"/>
              </w:rPr>
              <w:t>$771M</w:t>
            </w:r>
          </w:p>
        </w:tc>
        <w:tc>
          <w:tcPr>
            <w:tcW w:type="dxa" w:w="1234"/>
          </w:tcPr>
          <w:p>
            <w:r>
              <w:rPr>
                <w:rFonts w:ascii="Calibri" w:hAnsi="Calibri"/>
                <w:sz w:val="22"/>
              </w:rPr>
              <w:t>$839M</w:t>
            </w:r>
          </w:p>
        </w:tc>
        <w:tc>
          <w:tcPr>
            <w:tcW w:type="dxa" w:w="1234"/>
          </w:tcPr>
          <w:p>
            <w:r>
              <w:rPr>
                <w:rFonts w:ascii="Calibri" w:hAnsi="Calibri"/>
                <w:sz w:val="22"/>
              </w:rPr>
              <w:t>+8.8%</w:t>
            </w:r>
          </w:p>
        </w:tc>
        <w:tc>
          <w:tcPr>
            <w:tcW w:type="dxa" w:w="1234"/>
          </w:tcPr>
          <w:p>
            <w:r>
              <w:rPr>
                <w:rFonts w:ascii="Calibri" w:hAnsi="Calibri"/>
                <w:sz w:val="22"/>
              </w:rPr>
              <w:t>6%–10% YoY growth (mid: ~$838M)</w:t>
            </w:r>
          </w:p>
        </w:tc>
        <w:tc>
          <w:tcPr>
            <w:tcW w:type="dxa" w:w="1234"/>
          </w:tcPr>
          <w:p>
            <w:r>
              <w:rPr>
                <w:rFonts w:ascii="Calibri" w:hAnsi="Calibri"/>
                <w:sz w:val="22"/>
              </w:rPr>
              <w:t>+0.1% above mid</w:t>
            </w:r>
          </w:p>
        </w:tc>
      </w:tr>
      <w:tr>
        <w:tc>
          <w:tcPr>
            <w:tcW w:type="dxa" w:w="1234"/>
          </w:tcPr>
          <w:p>
            <w:r>
              <w:rPr>
                <w:rFonts w:ascii="Calibri" w:hAnsi="Calibri"/>
                <w:sz w:val="22"/>
              </w:rPr>
              <w:t>Advertising Revenue ($M)</w:t>
            </w:r>
          </w:p>
        </w:tc>
        <w:tc>
          <w:tcPr>
            <w:tcW w:type="dxa" w:w="1234"/>
          </w:tcPr>
          <w:p>
            <w:r>
              <w:rPr>
                <w:rFonts w:ascii="Calibri" w:hAnsi="Calibri"/>
                <w:sz w:val="22"/>
              </w:rPr>
              <w:t>$581M</w:t>
            </w:r>
          </w:p>
        </w:tc>
        <w:tc>
          <w:tcPr>
            <w:tcW w:type="dxa" w:w="1234"/>
          </w:tcPr>
          <w:p>
            <w:r>
              <w:rPr>
                <w:rFonts w:ascii="Calibri" w:hAnsi="Calibri"/>
                <w:sz w:val="22"/>
              </w:rPr>
              <w:t>$482M</w:t>
            </w:r>
          </w:p>
        </w:tc>
        <w:tc>
          <w:tcPr>
            <w:tcW w:type="dxa" w:w="1234"/>
          </w:tcPr>
          <w:p>
            <w:r>
              <w:rPr>
                <w:rFonts w:ascii="Calibri" w:hAnsi="Calibri"/>
                <w:sz w:val="22"/>
              </w:rPr>
              <w:t>$575M</w:t>
            </w:r>
          </w:p>
        </w:tc>
        <w:tc>
          <w:tcPr>
            <w:tcW w:type="dxa" w:w="1234"/>
          </w:tcPr>
          <w:p>
            <w:r>
              <w:rPr>
                <w:rFonts w:ascii="Calibri" w:hAnsi="Calibri"/>
                <w:sz w:val="22"/>
              </w:rPr>
              <w:t>+19.3%</w:t>
            </w:r>
          </w:p>
        </w:tc>
        <w:tc>
          <w:tcPr>
            <w:tcW w:type="dxa" w:w="1234"/>
          </w:tcPr>
          <w:p>
            <w:r>
              <w:rPr>
                <w:rFonts w:ascii="Calibri" w:hAnsi="Calibri"/>
                <w:sz w:val="22"/>
              </w:rPr>
              <w:t>No specific guidance (healthy growth expected)</w:t>
            </w:r>
          </w:p>
        </w:tc>
        <w:tc>
          <w:tcPr>
            <w:tcW w:type="dxa" w:w="1234"/>
          </w:tcPr>
          <w:p>
            <w:r>
              <w:rPr>
                <w:rFonts w:ascii="Calibri" w:hAnsi="Calibri"/>
                <w:sz w:val="22"/>
              </w:rPr>
              <w:t>N/A</w:t>
            </w:r>
          </w:p>
        </w:tc>
      </w:tr>
      <w:tr>
        <w:tc>
          <w:tcPr>
            <w:tcW w:type="dxa" w:w="1234"/>
          </w:tcPr>
          <w:p>
            <w:r>
              <w:rPr>
                <w:rFonts w:ascii="Calibri" w:hAnsi="Calibri"/>
                <w:sz w:val="22"/>
              </w:rPr>
              <w:t>Take Rate (%)</w:t>
            </w:r>
          </w:p>
        </w:tc>
        <w:tc>
          <w:tcPr>
            <w:tcW w:type="dxa" w:w="1234"/>
          </w:tcPr>
          <w:p>
            <w:r>
              <w:rPr>
                <w:rFonts w:ascii="Calibri" w:hAnsi="Calibri"/>
                <w:sz w:val="22"/>
              </w:rPr>
              <w:t>13.92%</w:t>
            </w:r>
          </w:p>
        </w:tc>
        <w:tc>
          <w:tcPr>
            <w:tcW w:type="dxa" w:w="1234"/>
          </w:tcPr>
          <w:p>
            <w:r>
              <w:rPr>
                <w:rFonts w:ascii="Calibri" w:hAnsi="Calibri"/>
                <w:sz w:val="22"/>
              </w:rPr>
              <w:t>13.99%</w:t>
            </w:r>
          </w:p>
        </w:tc>
        <w:tc>
          <w:tcPr>
            <w:tcW w:type="dxa" w:w="1234"/>
          </w:tcPr>
          <w:p>
            <w:r>
              <w:rPr>
                <w:rFonts w:ascii="Calibri" w:hAnsi="Calibri"/>
                <w:sz w:val="22"/>
              </w:rPr>
              <w:t>14.01%</w:t>
            </w:r>
          </w:p>
        </w:tc>
        <w:tc>
          <w:tcPr>
            <w:tcW w:type="dxa" w:w="1234"/>
          </w:tcPr>
          <w:p>
            <w:r>
              <w:rPr>
                <w:rFonts w:ascii="Calibri" w:hAnsi="Calibri"/>
                <w:sz w:val="22"/>
              </w:rPr>
              <w:t>+2 bps</w:t>
            </w:r>
          </w:p>
        </w:tc>
        <w:tc>
          <w:tcPr>
            <w:tcW w:type="dxa" w:w="1234"/>
          </w:tcPr>
          <w:p>
            <w:r>
              <w:rPr>
                <w:rFonts w:ascii="Calibri" w:hAnsi="Calibri"/>
                <w:sz w:val="22"/>
              </w:rPr>
              <w:t>No specific guidance (modest pressure from UK managed shipping accounting change)</w:t>
            </w:r>
          </w:p>
        </w:tc>
        <w:tc>
          <w:tcPr>
            <w:tcW w:type="dxa" w:w="1234"/>
          </w:tcPr>
          <w:p>
            <w:r>
              <w:rPr>
                <w:rFonts w:ascii="Calibri" w:hAnsi="Calibri"/>
                <w:sz w:val="22"/>
              </w:rPr>
              <w:t>N/A</w:t>
            </w:r>
          </w:p>
        </w:tc>
      </w:tr>
    </w:tbl>
    <w:p>
      <w:r>
        <w:rPr>
          <w:rFonts w:ascii="Calibri" w:hAnsi="Calibri"/>
          <w:i/>
          <w:color w:val="525866"/>
          <w:sz w:val="22"/>
        </w:rPr>
        <w:t>Sources: Visible Alpha consensus and actuals data. All consensus figures as of August 4, 2026. Guidance from Q1 2026 earnings call (April 29, 2026). Non-GAAP EPS consensus of ~$1.51 per internet research (38 analysts); VA shows $1.506. Operating income guidance midpoint derived from 6%–10% YoY growth applied to Q2 2025 actual of $771M.</w:t>
      </w:r>
    </w:p>
    <w:p>
      <w:pPr>
        <w:pStyle w:val="Heading3"/>
      </w:pPr>
      <w:r>
        <w:rPr>
          <w:rFonts w:ascii="Calibri" w:hAnsi="Calibri"/>
          <w:b/>
          <w:color w:val="3B4259"/>
          <w:sz w:val="24"/>
        </w:rPr>
        <w:t>Table 2 — Beat/Miss History (Last 8 Quarters)</w:t>
      </w:r>
    </w:p>
    <w:p>
      <w:r>
        <w:rPr>
          <w:rFonts w:ascii="Calibri" w:hAnsi="Calibri"/>
          <w:b/>
          <w:color w:val="525866"/>
          <w:sz w:val="22"/>
        </w:rPr>
        <w:t>Top 2 KPIs: Net Revenue and Non-GAAP EPS (Diluted)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$3.089B</w:t>
            </w:r>
          </w:p>
        </w:tc>
        <w:tc>
          <w:tcPr>
            <w:tcW w:type="dxa" w:w="1440"/>
          </w:tcPr>
          <w:p>
            <w:r>
              <w:rPr>
                <w:rFonts w:ascii="Calibri" w:hAnsi="Calibri"/>
                <w:sz w:val="22"/>
              </w:rPr>
              <w:t>$3.036B</w:t>
            </w:r>
          </w:p>
        </w:tc>
        <w:tc>
          <w:tcPr>
            <w:tcW w:type="dxa" w:w="1440"/>
          </w:tcPr>
          <w:p>
            <w:r>
              <w:rPr>
                <w:rFonts w:ascii="Calibri" w:hAnsi="Calibri"/>
                <w:b/>
                <w:color w:val="30A46C"/>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$1.66</w:t>
            </w:r>
          </w:p>
        </w:tc>
        <w:tc>
          <w:tcPr>
            <w:tcW w:type="dxa" w:w="1440"/>
          </w:tcPr>
          <w:p>
            <w:r>
              <w:rPr>
                <w:rFonts w:ascii="Calibri" w:hAnsi="Calibri"/>
                <w:sz w:val="22"/>
              </w:rPr>
              <w:t>$1.581</w:t>
            </w:r>
          </w:p>
        </w:tc>
        <w:tc>
          <w:tcPr>
            <w:tcW w:type="dxa" w:w="1440"/>
          </w:tcPr>
          <w:p>
            <w:r>
              <w:rPr>
                <w:rFonts w:ascii="Calibri" w:hAnsi="Calibri"/>
                <w:b/>
                <w:color w:val="30A46C"/>
                <w:sz w:val="22"/>
              </w:rPr>
              <w:t>+5.0%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$2.965B</w:t>
            </w:r>
          </w:p>
        </w:tc>
        <w:tc>
          <w:tcPr>
            <w:tcW w:type="dxa" w:w="1440"/>
          </w:tcPr>
          <w:p>
            <w:r>
              <w:rPr>
                <w:rFonts w:ascii="Calibri" w:hAnsi="Calibri"/>
                <w:sz w:val="22"/>
              </w:rPr>
              <w:t>$2.877B</w:t>
            </w:r>
          </w:p>
        </w:tc>
        <w:tc>
          <w:tcPr>
            <w:tcW w:type="dxa" w:w="1440"/>
          </w:tcPr>
          <w:p>
            <w:r>
              <w:rPr>
                <w:rFonts w:ascii="Calibri" w:hAnsi="Calibri"/>
                <w:b/>
                <w:color w:val="30A46C"/>
                <w:sz w:val="22"/>
              </w:rPr>
              <w:t>+3.1%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$1.402</w:t>
            </w:r>
          </w:p>
        </w:tc>
        <w:tc>
          <w:tcPr>
            <w:tcW w:type="dxa" w:w="1440"/>
          </w:tcPr>
          <w:p>
            <w:r>
              <w:rPr>
                <w:rFonts w:ascii="Calibri" w:hAnsi="Calibri"/>
                <w:sz w:val="22"/>
              </w:rPr>
              <w:t>$1.349</w:t>
            </w:r>
          </w:p>
        </w:tc>
        <w:tc>
          <w:tcPr>
            <w:tcW w:type="dxa" w:w="1440"/>
          </w:tcPr>
          <w:p>
            <w:r>
              <w:rPr>
                <w:rFonts w:ascii="Calibri" w:hAnsi="Calibri"/>
                <w:b/>
                <w:color w:val="30A46C"/>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$2.820B</w:t>
            </w:r>
          </w:p>
        </w:tc>
        <w:tc>
          <w:tcPr>
            <w:tcW w:type="dxa" w:w="1440"/>
          </w:tcPr>
          <w:p>
            <w:r>
              <w:rPr>
                <w:rFonts w:ascii="Calibri" w:hAnsi="Calibri"/>
                <w:sz w:val="22"/>
              </w:rPr>
              <w:t>$2.734B</w:t>
            </w:r>
          </w:p>
        </w:tc>
        <w:tc>
          <w:tcPr>
            <w:tcW w:type="dxa" w:w="1440"/>
          </w:tcPr>
          <w:p>
            <w:r>
              <w:rPr>
                <w:rFonts w:ascii="Calibri" w:hAnsi="Calibri"/>
                <w:b/>
                <w:color w:val="30A46C"/>
                <w:sz w:val="22"/>
              </w:rPr>
              <w:t>+3.1%</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$1.353</w:t>
            </w:r>
          </w:p>
        </w:tc>
        <w:tc>
          <w:tcPr>
            <w:tcW w:type="dxa" w:w="1440"/>
          </w:tcPr>
          <w:p>
            <w:r>
              <w:rPr>
                <w:rFonts w:ascii="Calibri" w:hAnsi="Calibri"/>
                <w:sz w:val="22"/>
              </w:rPr>
              <w:t>$1.332</w:t>
            </w:r>
          </w:p>
        </w:tc>
        <w:tc>
          <w:tcPr>
            <w:tcW w:type="dxa" w:w="1440"/>
          </w:tcPr>
          <w:p>
            <w:r>
              <w:rPr>
                <w:rFonts w:ascii="Calibri" w:hAnsi="Calibri"/>
                <w:b/>
                <w:color w:val="30A46C"/>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$2.730B</w:t>
            </w:r>
          </w:p>
        </w:tc>
        <w:tc>
          <w:tcPr>
            <w:tcW w:type="dxa" w:w="1440"/>
          </w:tcPr>
          <w:p>
            <w:r>
              <w:rPr>
                <w:rFonts w:ascii="Calibri" w:hAnsi="Calibri"/>
                <w:sz w:val="22"/>
              </w:rPr>
              <w:t>$2.647B</w:t>
            </w:r>
          </w:p>
        </w:tc>
        <w:tc>
          <w:tcPr>
            <w:tcW w:type="dxa" w:w="1440"/>
          </w:tcPr>
          <w:p>
            <w:r>
              <w:rPr>
                <w:rFonts w:ascii="Calibri" w:hAnsi="Calibri"/>
                <w:b/>
                <w:color w:val="30A46C"/>
                <w:sz w:val="22"/>
              </w:rPr>
              <w:t>+3.1%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$1.362</w:t>
            </w:r>
          </w:p>
        </w:tc>
        <w:tc>
          <w:tcPr>
            <w:tcW w:type="dxa" w:w="1440"/>
          </w:tcPr>
          <w:p>
            <w:r>
              <w:rPr>
                <w:rFonts w:ascii="Calibri" w:hAnsi="Calibri"/>
                <w:sz w:val="22"/>
              </w:rPr>
              <w:t>$1.295</w:t>
            </w:r>
          </w:p>
        </w:tc>
        <w:tc>
          <w:tcPr>
            <w:tcW w:type="dxa" w:w="1440"/>
          </w:tcPr>
          <w:p>
            <w:r>
              <w:rPr>
                <w:rFonts w:ascii="Calibri" w:hAnsi="Calibri"/>
                <w:b/>
                <w:color w:val="30A46C"/>
                <w:sz w:val="22"/>
              </w:rPr>
              <w:t>+5.2%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$2.585B</w:t>
            </w:r>
          </w:p>
        </w:tc>
        <w:tc>
          <w:tcPr>
            <w:tcW w:type="dxa" w:w="1440"/>
          </w:tcPr>
          <w:p>
            <w:r>
              <w:rPr>
                <w:rFonts w:ascii="Calibri" w:hAnsi="Calibri"/>
                <w:sz w:val="22"/>
              </w:rPr>
              <w:t>$2.545B</w:t>
            </w:r>
          </w:p>
        </w:tc>
        <w:tc>
          <w:tcPr>
            <w:tcW w:type="dxa" w:w="1440"/>
          </w:tcPr>
          <w:p>
            <w:r>
              <w:rPr>
                <w:rFonts w:ascii="Calibri" w:hAnsi="Calibri"/>
                <w:b/>
                <w:color w:val="30A46C"/>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Non-GAAP EPS</w:t>
            </w:r>
          </w:p>
        </w:tc>
        <w:tc>
          <w:tcPr>
            <w:tcW w:type="dxa" w:w="1440"/>
          </w:tcPr>
          <w:p>
            <w:r>
              <w:rPr>
                <w:rFonts w:ascii="Calibri" w:hAnsi="Calibri"/>
                <w:sz w:val="22"/>
              </w:rPr>
              <w:t>$1.370</w:t>
            </w:r>
          </w:p>
        </w:tc>
        <w:tc>
          <w:tcPr>
            <w:tcW w:type="dxa" w:w="1440"/>
          </w:tcPr>
          <w:p>
            <w:r>
              <w:rPr>
                <w:rFonts w:ascii="Calibri" w:hAnsi="Calibri"/>
                <w:sz w:val="22"/>
              </w:rPr>
              <w:t>$1.339</w:t>
            </w:r>
          </w:p>
        </w:tc>
        <w:tc>
          <w:tcPr>
            <w:tcW w:type="dxa" w:w="1440"/>
          </w:tcPr>
          <w:p>
            <w:r>
              <w:rPr>
                <w:rFonts w:ascii="Calibri" w:hAnsi="Calibri"/>
                <w:b/>
                <w:color w:val="30A46C"/>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$2.579B</w:t>
            </w:r>
          </w:p>
        </w:tc>
        <w:tc>
          <w:tcPr>
            <w:tcW w:type="dxa" w:w="1440"/>
          </w:tcPr>
          <w:p>
            <w:r>
              <w:rPr>
                <w:rFonts w:ascii="Calibri" w:hAnsi="Calibri"/>
                <w:sz w:val="22"/>
              </w:rPr>
              <w:t>$2.580B</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2024</w:t>
            </w:r>
          </w:p>
        </w:tc>
        <w:tc>
          <w:tcPr>
            <w:tcW w:type="dxa" w:w="1440"/>
          </w:tcPr>
          <w:p>
            <w:r>
              <w:rPr>
                <w:rFonts w:ascii="Calibri" w:hAnsi="Calibri"/>
                <w:sz w:val="22"/>
              </w:rPr>
              <w:t>Non-GAAP EPS</w:t>
            </w:r>
          </w:p>
        </w:tc>
        <w:tc>
          <w:tcPr>
            <w:tcW w:type="dxa" w:w="1440"/>
          </w:tcPr>
          <w:p>
            <w:r>
              <w:rPr>
                <w:rFonts w:ascii="Calibri" w:hAnsi="Calibri"/>
                <w:sz w:val="22"/>
              </w:rPr>
              <w:t>$1.250</w:t>
            </w:r>
          </w:p>
        </w:tc>
        <w:tc>
          <w:tcPr>
            <w:tcW w:type="dxa" w:w="1440"/>
          </w:tcPr>
          <w:p>
            <w:r>
              <w:rPr>
                <w:rFonts w:ascii="Calibri" w:hAnsi="Calibri"/>
                <w:sz w:val="22"/>
              </w:rPr>
              <w:t>$1.203</w:t>
            </w:r>
          </w:p>
        </w:tc>
        <w:tc>
          <w:tcPr>
            <w:tcW w:type="dxa" w:w="1440"/>
          </w:tcPr>
          <w:p>
            <w:r>
              <w:rPr>
                <w:rFonts w:ascii="Calibri" w:hAnsi="Calibri"/>
                <w:b/>
                <w:color w:val="30A46C"/>
                <w:sz w:val="22"/>
              </w:rPr>
              <w:t>+3.9%</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$2.576B</w:t>
            </w:r>
          </w:p>
        </w:tc>
        <w:tc>
          <w:tcPr>
            <w:tcW w:type="dxa" w:w="1440"/>
          </w:tcPr>
          <w:p>
            <w:r>
              <w:rPr>
                <w:rFonts w:ascii="Calibri" w:hAnsi="Calibri"/>
                <w:sz w:val="22"/>
              </w:rPr>
              <w:t>$2.548B</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Non-GAAP EPS</w:t>
            </w:r>
          </w:p>
        </w:tc>
        <w:tc>
          <w:tcPr>
            <w:tcW w:type="dxa" w:w="1440"/>
          </w:tcPr>
          <w:p>
            <w:r>
              <w:rPr>
                <w:rFonts w:ascii="Calibri" w:hAnsi="Calibri"/>
                <w:sz w:val="22"/>
              </w:rPr>
              <w:t>$1.190</w:t>
            </w:r>
          </w:p>
        </w:tc>
        <w:tc>
          <w:tcPr>
            <w:tcW w:type="dxa" w:w="1440"/>
          </w:tcPr>
          <w:p>
            <w:r>
              <w:rPr>
                <w:rFonts w:ascii="Calibri" w:hAnsi="Calibri"/>
                <w:sz w:val="22"/>
              </w:rPr>
              <w:t>$1.184</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$2.572B</w:t>
            </w:r>
          </w:p>
        </w:tc>
        <w:tc>
          <w:tcPr>
            <w:tcW w:type="dxa" w:w="1440"/>
          </w:tcPr>
          <w:p>
            <w:r>
              <w:rPr>
                <w:rFonts w:ascii="Calibri" w:hAnsi="Calibri"/>
                <w:sz w:val="22"/>
              </w:rPr>
              <w:t>$2.530B</w:t>
            </w:r>
          </w:p>
        </w:tc>
        <w:tc>
          <w:tcPr>
            <w:tcW w:type="dxa" w:w="1440"/>
          </w:tcPr>
          <w:p>
            <w:r>
              <w:rPr>
                <w:rFonts w:ascii="Calibri" w:hAnsi="Calibri"/>
                <w:b/>
                <w:color w:val="30A46C"/>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Non-GAAP EPS</w:t>
            </w:r>
          </w:p>
        </w:tc>
        <w:tc>
          <w:tcPr>
            <w:tcW w:type="dxa" w:w="1440"/>
          </w:tcPr>
          <w:p>
            <w:r>
              <w:rPr>
                <w:rFonts w:ascii="Calibri" w:hAnsi="Calibri"/>
                <w:sz w:val="22"/>
              </w:rPr>
              <w:t>$1.187</w:t>
            </w:r>
          </w:p>
        </w:tc>
        <w:tc>
          <w:tcPr>
            <w:tcW w:type="dxa" w:w="1440"/>
          </w:tcPr>
          <w:p>
            <w:r>
              <w:rPr>
                <w:rFonts w:ascii="Calibri" w:hAnsi="Calibri"/>
                <w:sz w:val="22"/>
              </w:rPr>
              <w:t>$1.134</w:t>
            </w:r>
          </w:p>
        </w:tc>
        <w:tc>
          <w:tcPr>
            <w:tcW w:type="dxa" w:w="1440"/>
          </w:tcPr>
          <w:p>
            <w:r>
              <w:rPr>
                <w:rFonts w:ascii="Calibri" w:hAnsi="Calibri"/>
                <w:b/>
                <w:color w:val="30A46C"/>
                <w:sz w:val="22"/>
              </w:rPr>
              <w:t>+4.7%</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eBay has beaten revenue consensus in 7 of the last 8 quarters (one in-line) and beaten Non-GAAP EPS in all 8 quarters, with EPS beats consistently larger than revenue beats — suggesting management guides conservatively on the bottom line. The trend of accelerating beat magnitude (Q1 2026 EPS beat of +5.0%) supports a constructive setup, though Depop dilution is a new variable not present in prior quarters.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2026 earnings call, but the Depop acquisition closing on July 30 — one quarter earlier than the original Q4 target — introduces incremental EPS dilution that management had flagged as a low-single-digit headwind to operating income growth. Tone remains constructive on GMV but cautious on near-term margins given reinvestment priorities.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GMV</w:t>
            </w:r>
          </w:p>
        </w:tc>
        <w:tc>
          <w:tcPr>
            <w:tcW w:type="dxa" w:w="1728"/>
          </w:tcPr>
          <w:p>
            <w:r>
              <w:rPr>
                <w:rFonts w:ascii="Calibri" w:hAnsi="Calibri"/>
                <w:sz w:val="22"/>
              </w:rPr>
              <w:t>$21.3B–$21.7B; FX-neutral growth 8%–10% YoY</w:t>
            </w:r>
          </w:p>
        </w:tc>
        <w:tc>
          <w:tcPr>
            <w:tcW w:type="dxa" w:w="1728"/>
          </w:tcPr>
          <w:p>
            <w:r>
              <w:rPr>
                <w:rFonts w:ascii="Calibri" w:hAnsi="Calibri"/>
                <w:sz w:val="22"/>
              </w:rPr>
              <w:t>—</w:t>
            </w:r>
          </w:p>
        </w:tc>
        <w:tc>
          <w:tcPr>
            <w:tcW w:type="dxa" w:w="1728"/>
          </w:tcPr>
          <w:p>
            <w:r>
              <w:rPr>
                <w:rFonts w:ascii="Calibri" w:hAnsi="Calibri"/>
                <w:sz w:val="22"/>
              </w:rPr>
              <w:t>$21.58B</w:t>
            </w:r>
          </w:p>
        </w:tc>
        <w:tc>
          <w:tcPr>
            <w:tcW w:type="dxa" w:w="1728"/>
          </w:tcPr>
          <w:p>
            <w:r>
              <w:rPr>
                <w:rFonts w:ascii="Calibri" w:hAnsi="Calibri"/>
                <w:sz w:val="22"/>
              </w:rPr>
              <w:t>Unchanged; consensus sits near midpoint of range</w:t>
            </w:r>
          </w:p>
        </w:tc>
      </w:tr>
      <w:tr>
        <w:tc>
          <w:tcPr>
            <w:tcW w:type="dxa" w:w="1728"/>
          </w:tcPr>
          <w:p>
            <w:r>
              <w:rPr>
                <w:rFonts w:ascii="Calibri" w:hAnsi="Calibri"/>
                <w:sz w:val="22"/>
              </w:rPr>
              <w:t>Q2 2026 Revenue</w:t>
            </w:r>
          </w:p>
        </w:tc>
        <w:tc>
          <w:tcPr>
            <w:tcW w:type="dxa" w:w="1728"/>
          </w:tcPr>
          <w:p>
            <w:r>
              <w:rPr>
                <w:rFonts w:ascii="Calibri" w:hAnsi="Calibri"/>
                <w:sz w:val="22"/>
              </w:rPr>
              <w:t>$2.97B–$3.03B; FX-neutral growth 8%–10% YoY</w:t>
            </w:r>
          </w:p>
        </w:tc>
        <w:tc>
          <w:tcPr>
            <w:tcW w:type="dxa" w:w="1728"/>
          </w:tcPr>
          <w:p>
            <w:r>
              <w:rPr>
                <w:rFonts w:ascii="Calibri" w:hAnsi="Calibri"/>
                <w:sz w:val="22"/>
              </w:rPr>
              <w:t>—</w:t>
            </w:r>
          </w:p>
        </w:tc>
        <w:tc>
          <w:tcPr>
            <w:tcW w:type="dxa" w:w="1728"/>
          </w:tcPr>
          <w:p>
            <w:r>
              <w:rPr>
                <w:rFonts w:ascii="Calibri" w:hAnsi="Calibri"/>
                <w:sz w:val="22"/>
              </w:rPr>
              <w:t>$3.022B</w:t>
            </w:r>
          </w:p>
        </w:tc>
        <w:tc>
          <w:tcPr>
            <w:tcW w:type="dxa" w:w="1728"/>
          </w:tcPr>
          <w:p>
            <w:r>
              <w:rPr>
                <w:rFonts w:ascii="Calibri" w:hAnsi="Calibri"/>
                <w:sz w:val="22"/>
              </w:rPr>
              <w:t>Unchanged; consensus at top of range</w:t>
            </w:r>
          </w:p>
        </w:tc>
      </w:tr>
      <w:tr>
        <w:tc>
          <w:tcPr>
            <w:tcW w:type="dxa" w:w="1728"/>
          </w:tcPr>
          <w:p>
            <w:r>
              <w:rPr>
                <w:rFonts w:ascii="Calibri" w:hAnsi="Calibri"/>
                <w:sz w:val="22"/>
              </w:rPr>
              <w:t>Q2 2026 Non-GAAP Operating Margin</w:t>
            </w:r>
          </w:p>
        </w:tc>
        <w:tc>
          <w:tcPr>
            <w:tcW w:type="dxa" w:w="1728"/>
          </w:tcPr>
          <w:p>
            <w:r>
              <w:rPr>
                <w:rFonts w:ascii="Calibri" w:hAnsi="Calibri"/>
                <w:sz w:val="22"/>
              </w:rPr>
              <w:t>27.6%–28.1%; operating income growth 6%–10% YoY</w:t>
            </w:r>
          </w:p>
        </w:tc>
        <w:tc>
          <w:tcPr>
            <w:tcW w:type="dxa" w:w="1728"/>
          </w:tcPr>
          <w:p>
            <w:r>
              <w:rPr>
                <w:rFonts w:ascii="Calibri" w:hAnsi="Calibri"/>
                <w:sz w:val="22"/>
              </w:rPr>
              <w:t>—</w:t>
            </w:r>
          </w:p>
        </w:tc>
        <w:tc>
          <w:tcPr>
            <w:tcW w:type="dxa" w:w="1728"/>
          </w:tcPr>
          <w:p>
            <w:r>
              <w:rPr>
                <w:rFonts w:ascii="Calibri" w:hAnsi="Calibri"/>
                <w:sz w:val="22"/>
              </w:rPr>
              <w:t>~27.8% implied ($839M / $3.02B)</w:t>
            </w:r>
          </w:p>
        </w:tc>
        <w:tc>
          <w:tcPr>
            <w:tcW w:type="dxa" w:w="1728"/>
          </w:tcPr>
          <w:p>
            <w:r>
              <w:rPr>
                <w:rFonts w:ascii="Calibri" w:hAnsi="Calibri"/>
                <w:sz w:val="22"/>
              </w:rPr>
              <w:t>Unchanged; Depop dilution risk not yet in guidance</w:t>
            </w:r>
          </w:p>
        </w:tc>
      </w:tr>
      <w:tr>
        <w:tc>
          <w:tcPr>
            <w:tcW w:type="dxa" w:w="1728"/>
          </w:tcPr>
          <w:p>
            <w:r>
              <w:rPr>
                <w:rFonts w:ascii="Calibri" w:hAnsi="Calibri"/>
                <w:sz w:val="22"/>
              </w:rPr>
              <w:t>Q2 2026 Non-GAAP EPS</w:t>
            </w:r>
          </w:p>
        </w:tc>
        <w:tc>
          <w:tcPr>
            <w:tcW w:type="dxa" w:w="1728"/>
          </w:tcPr>
          <w:p>
            <w:r>
              <w:rPr>
                <w:rFonts w:ascii="Calibri" w:hAnsi="Calibri"/>
                <w:sz w:val="22"/>
              </w:rPr>
              <w:t>$1.46–$1.51; YoY growth 7%–11%</w:t>
            </w:r>
          </w:p>
        </w:tc>
        <w:tc>
          <w:tcPr>
            <w:tcW w:type="dxa" w:w="1728"/>
          </w:tcPr>
          <w:p>
            <w:r>
              <w:rPr>
                <w:rFonts w:ascii="Calibri" w:hAnsi="Calibri"/>
                <w:sz w:val="22"/>
              </w:rPr>
              <w:t>—</w:t>
            </w:r>
          </w:p>
        </w:tc>
        <w:tc>
          <w:tcPr>
            <w:tcW w:type="dxa" w:w="1728"/>
          </w:tcPr>
          <w:p>
            <w:r>
              <w:rPr>
                <w:rFonts w:ascii="Calibri" w:hAnsi="Calibri"/>
                <w:sz w:val="22"/>
              </w:rPr>
              <w:t>$1.506</w:t>
            </w:r>
          </w:p>
        </w:tc>
        <w:tc>
          <w:tcPr>
            <w:tcW w:type="dxa" w:w="1728"/>
          </w:tcPr>
          <w:p>
            <w:r>
              <w:rPr>
                <w:rFonts w:ascii="Calibri" w:hAnsi="Calibri"/>
                <w:sz w:val="22"/>
              </w:rPr>
              <w:t>Unchanged; consensus at top of range; Depop closed Jul 30 — dilution risk for Q3 guide</w:t>
            </w:r>
          </w:p>
        </w:tc>
      </w:tr>
      <w:tr>
        <w:tc>
          <w:tcPr>
            <w:tcW w:type="dxa" w:w="1728"/>
          </w:tcPr>
          <w:p>
            <w:r>
              <w:rPr>
                <w:rFonts w:ascii="Calibri" w:hAnsi="Calibri"/>
                <w:sz w:val="22"/>
              </w:rPr>
              <w:t>FY 2026 GMV Growth (FX-neutral)</w:t>
            </w:r>
          </w:p>
        </w:tc>
        <w:tc>
          <w:tcPr>
            <w:tcW w:type="dxa" w:w="1728"/>
          </w:tcPr>
          <w:p>
            <w:r>
              <w:rPr>
                <w:rFonts w:ascii="Calibri" w:hAnsi="Calibri"/>
                <w:sz w:val="22"/>
              </w:rPr>
              <w:t>7%–7.5% (raised from ~6% at Q4 2025 call); excludes Depop</w:t>
            </w:r>
          </w:p>
        </w:tc>
        <w:tc>
          <w:tcPr>
            <w:tcW w:type="dxa" w:w="1728"/>
          </w:tcPr>
          <w:p>
            <w:r>
              <w:rPr>
                <w:rFonts w:ascii="Calibri" w:hAnsi="Calibri"/>
                <w:sz w:val="22"/>
              </w:rPr>
              <w:t>—</w:t>
            </w:r>
          </w:p>
        </w:tc>
        <w:tc>
          <w:tcPr>
            <w:tcW w:type="dxa" w:w="1728"/>
          </w:tcPr>
          <w:p>
            <w:r>
              <w:rPr>
                <w:rFonts w:ascii="Calibri" w:hAnsi="Calibri"/>
                <w:sz w:val="22"/>
              </w:rPr>
              <w:t>$87.0B (consensus FY 2026 GMV)</w:t>
            </w:r>
          </w:p>
        </w:tc>
        <w:tc>
          <w:tcPr>
            <w:tcW w:type="dxa" w:w="1728"/>
          </w:tcPr>
          <w:p>
            <w:r>
              <w:rPr>
                <w:rFonts w:ascii="Calibri" w:hAnsi="Calibri"/>
                <w:sz w:val="22"/>
              </w:rPr>
              <w:t>Raised at Q1 2026 call; Depop expected to add 1–2 ppts to FX-neutral GMV growth</w:t>
            </w:r>
          </w:p>
        </w:tc>
      </w:tr>
      <w:tr>
        <w:tc>
          <w:tcPr>
            <w:tcW w:type="dxa" w:w="1728"/>
          </w:tcPr>
          <w:p>
            <w:r>
              <w:rPr>
                <w:rFonts w:ascii="Calibri" w:hAnsi="Calibri"/>
                <w:sz w:val="22"/>
              </w:rPr>
              <w:t>FY 2026 Non-GAAP Operating Income Growth</w:t>
            </w:r>
          </w:p>
        </w:tc>
        <w:tc>
          <w:tcPr>
            <w:tcW w:type="dxa" w:w="1728"/>
          </w:tcPr>
          <w:p>
            <w:r>
              <w:rPr>
                <w:rFonts w:ascii="Calibri" w:hAnsi="Calibri"/>
                <w:sz w:val="22"/>
              </w:rPr>
              <w:t>8%–10% YoY (core eBay); Depop a low-single-digit headwind</w:t>
            </w:r>
          </w:p>
        </w:tc>
        <w:tc>
          <w:tcPr>
            <w:tcW w:type="dxa" w:w="1728"/>
          </w:tcPr>
          <w:p>
            <w:r>
              <w:rPr>
                <w:rFonts w:ascii="Calibri" w:hAnsi="Calibri"/>
                <w:sz w:val="22"/>
              </w:rPr>
              <w:t>—</w:t>
            </w:r>
          </w:p>
        </w:tc>
        <w:tc>
          <w:tcPr>
            <w:tcW w:type="dxa" w:w="1728"/>
          </w:tcPr>
          <w:p>
            <w:r>
              <w:rPr>
                <w:rFonts w:ascii="Calibri" w:hAnsi="Calibri"/>
                <w:sz w:val="22"/>
              </w:rPr>
              <w:t>$3.369B</w:t>
            </w:r>
          </w:p>
        </w:tc>
        <w:tc>
          <w:tcPr>
            <w:tcW w:type="dxa" w:w="1728"/>
          </w:tcPr>
          <w:p>
            <w:r>
              <w:rPr>
                <w:rFonts w:ascii="Calibri" w:hAnsi="Calibri"/>
                <w:sz w:val="22"/>
              </w:rPr>
              <w:t>Unchanged; Depop accretive to op. income in 2028</w:t>
            </w:r>
          </w:p>
        </w:tc>
      </w:tr>
      <w:tr>
        <w:tc>
          <w:tcPr>
            <w:tcW w:type="dxa" w:w="1728"/>
          </w:tcPr>
          <w:p>
            <w:r>
              <w:rPr>
                <w:rFonts w:ascii="Calibri" w:hAnsi="Calibri"/>
                <w:sz w:val="22"/>
              </w:rPr>
              <w:t>Depop Acquisition Close</w:t>
            </w:r>
          </w:p>
        </w:tc>
        <w:tc>
          <w:tcPr>
            <w:tcW w:type="dxa" w:w="1728"/>
          </w:tcPr>
          <w:p>
            <w:r>
              <w:rPr>
                <w:rFonts w:ascii="Calibri" w:hAnsi="Calibri"/>
                <w:sz w:val="22"/>
              </w:rPr>
              <w:t>Expected end of Q3 2026 (delayed from Q2 at Q4 2025 call)</w:t>
            </w:r>
          </w:p>
        </w:tc>
        <w:tc>
          <w:tcPr>
            <w:tcW w:type="dxa" w:w="1728"/>
          </w:tcPr>
          <w:p>
            <w:r>
              <w:rPr>
                <w:rFonts w:ascii="Calibri" w:hAnsi="Calibri"/>
                <w:sz w:val="22"/>
              </w:rPr>
              <w:t>Closed July 30, 2026 (earlier than guided)</w:t>
            </w:r>
          </w:p>
        </w:tc>
        <w:tc>
          <w:tcPr>
            <w:tcW w:type="dxa" w:w="1728"/>
          </w:tcPr>
          <w:p>
            <w:r>
              <w:rPr>
                <w:rFonts w:ascii="Calibri" w:hAnsi="Calibri"/>
                <w:sz w:val="22"/>
              </w:rPr>
              <w:t>N/A</w:t>
            </w:r>
          </w:p>
        </w:tc>
        <w:tc>
          <w:tcPr>
            <w:tcW w:type="dxa" w:w="1728"/>
          </w:tcPr>
          <w:p>
            <w:r>
              <w:rPr>
                <w:rFonts w:ascii="Calibri" w:hAnsi="Calibri"/>
                <w:sz w:val="22"/>
              </w:rPr>
              <w:t>↑ Closed ~2 months ahead of Q3-end guidance; CMA cleared Jul 15; $1.2B all-cash</w:t>
            </w:r>
          </w:p>
        </w:tc>
      </w:tr>
    </w:tbl>
    <w:p>
      <w:r>
        <w:rPr>
          <w:rFonts w:ascii="Calibri" w:hAnsi="Calibri"/>
          <w:i/>
          <w:color w:val="525866"/>
          <w:sz w:val="22"/>
        </w:rPr>
        <w:t>Sources: Q1 2026 earnings call transcript (April 29, 2026); Q4 2025 earnings call transcript (February 18, 2026); eBay press release (July 30, 2026).</w:t>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revenue and GMV consensus has barely moved, while EPS has drifted only modestly. The gap between consensus and guidance midpoints is narrow, suggesting the Street is not pricing in meaningful upside or downside from the guided range. The key risk is Q3 guidance, not Q2 delivery.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w:t>
            </w:r>
          </w:p>
        </w:tc>
      </w:tr>
      <w:tr>
        <w:tc>
          <w:tcPr>
            <w:tcW w:type="dxa" w:w="1080"/>
          </w:tcPr>
          <w:p>
            <w:r>
              <w:rPr>
                <w:rFonts w:ascii="Calibri" w:hAnsi="Calibri"/>
                <w:sz w:val="22"/>
              </w:rPr>
              <w:t>Net Revenue — Q2 2026</w:t>
            </w:r>
          </w:p>
        </w:tc>
        <w:tc>
          <w:tcPr>
            <w:tcW w:type="dxa" w:w="1080"/>
          </w:tcPr>
          <w:p>
            <w:r>
              <w:rPr>
                <w:rFonts w:ascii="Calibri" w:hAnsi="Calibri"/>
                <w:sz w:val="22"/>
              </w:rPr>
              <w:t>$3.019B</w:t>
            </w:r>
          </w:p>
        </w:tc>
        <w:tc>
          <w:tcPr>
            <w:tcW w:type="dxa" w:w="1080"/>
          </w:tcPr>
          <w:p>
            <w:r>
              <w:rPr>
                <w:rFonts w:ascii="Calibri" w:hAnsi="Calibri"/>
                <w:sz w:val="22"/>
              </w:rPr>
              <w:t>$3.022B</w:t>
            </w:r>
          </w:p>
        </w:tc>
        <w:tc>
          <w:tcPr>
            <w:tcW w:type="dxa" w:w="1080"/>
          </w:tcPr>
          <w:p>
            <w:r>
              <w:rPr>
                <w:rFonts w:ascii="Calibri" w:hAnsi="Calibri"/>
                <w:sz w:val="22"/>
              </w:rPr>
              <w:t>+0.1%</w:t>
            </w:r>
          </w:p>
        </w:tc>
        <w:tc>
          <w:tcPr>
            <w:tcW w:type="dxa" w:w="1080"/>
          </w:tcPr>
          <w:p>
            <w:r>
              <w:rPr>
                <w:rFonts w:ascii="Calibri" w:hAnsi="Calibri"/>
                <w:sz w:val="22"/>
              </w:rPr>
              <w:t>$2.97B–$3.03B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above mid</w:t>
            </w:r>
          </w:p>
        </w:tc>
      </w:tr>
      <w:tr>
        <w:tc>
          <w:tcPr>
            <w:tcW w:type="dxa" w:w="1080"/>
          </w:tcPr>
          <w:p>
            <w:r>
              <w:rPr>
                <w:rFonts w:ascii="Calibri" w:hAnsi="Calibri"/>
                <w:sz w:val="22"/>
              </w:rPr>
              <w:t>GMV — Q2 2026</w:t>
            </w:r>
          </w:p>
        </w:tc>
        <w:tc>
          <w:tcPr>
            <w:tcW w:type="dxa" w:w="1080"/>
          </w:tcPr>
          <w:p>
            <w:r>
              <w:rPr>
                <w:rFonts w:ascii="Calibri" w:hAnsi="Calibri"/>
                <w:sz w:val="22"/>
              </w:rPr>
              <w:t>$21.581B</w:t>
            </w:r>
          </w:p>
        </w:tc>
        <w:tc>
          <w:tcPr>
            <w:tcW w:type="dxa" w:w="1080"/>
          </w:tcPr>
          <w:p>
            <w:r>
              <w:rPr>
                <w:rFonts w:ascii="Calibri" w:hAnsi="Calibri"/>
                <w:sz w:val="22"/>
              </w:rPr>
              <w:t>$21.577B</w:t>
            </w:r>
          </w:p>
        </w:tc>
        <w:tc>
          <w:tcPr>
            <w:tcW w:type="dxa" w:w="1080"/>
          </w:tcPr>
          <w:p>
            <w:r>
              <w:rPr>
                <w:rFonts w:ascii="Calibri" w:hAnsi="Calibri"/>
                <w:sz w:val="22"/>
              </w:rPr>
              <w:t>-0.0%</w:t>
            </w:r>
          </w:p>
        </w:tc>
        <w:tc>
          <w:tcPr>
            <w:tcW w:type="dxa" w:w="1080"/>
          </w:tcPr>
          <w:p>
            <w:r>
              <w:rPr>
                <w:rFonts w:ascii="Calibri" w:hAnsi="Calibri"/>
                <w:sz w:val="22"/>
              </w:rPr>
              <w:t>$21.3B–$21.7B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above mid</w:t>
            </w:r>
          </w:p>
        </w:tc>
      </w:tr>
      <w:tr>
        <w:tc>
          <w:tcPr>
            <w:tcW w:type="dxa" w:w="1080"/>
          </w:tcPr>
          <w:p>
            <w:r>
              <w:rPr>
                <w:rFonts w:ascii="Calibri" w:hAnsi="Calibri"/>
                <w:sz w:val="22"/>
              </w:rPr>
              <w:t>Non-GAAP EPS — Q2 2026</w:t>
            </w:r>
          </w:p>
        </w:tc>
        <w:tc>
          <w:tcPr>
            <w:tcW w:type="dxa" w:w="1080"/>
          </w:tcPr>
          <w:p>
            <w:r>
              <w:rPr>
                <w:rFonts w:ascii="Calibri" w:hAnsi="Calibri"/>
                <w:sz w:val="22"/>
              </w:rPr>
              <w:t>$1.507</w:t>
            </w:r>
          </w:p>
        </w:tc>
        <w:tc>
          <w:tcPr>
            <w:tcW w:type="dxa" w:w="1080"/>
          </w:tcPr>
          <w:p>
            <w:r>
              <w:rPr>
                <w:rFonts w:ascii="Calibri" w:hAnsi="Calibri"/>
                <w:sz w:val="22"/>
              </w:rPr>
              <w:t>$1.506</w:t>
            </w:r>
          </w:p>
        </w:tc>
        <w:tc>
          <w:tcPr>
            <w:tcW w:type="dxa" w:w="1080"/>
          </w:tcPr>
          <w:p>
            <w:r>
              <w:rPr>
                <w:rFonts w:ascii="Calibri" w:hAnsi="Calibri"/>
                <w:sz w:val="22"/>
              </w:rPr>
              <w:t>-0.1%</w:t>
            </w:r>
          </w:p>
        </w:tc>
        <w:tc>
          <w:tcPr>
            <w:tcW w:type="dxa" w:w="1080"/>
          </w:tcPr>
          <w:p>
            <w:r>
              <w:rPr>
                <w:rFonts w:ascii="Calibri" w:hAnsi="Calibri"/>
                <w:sz w:val="22"/>
              </w:rPr>
              <w:t>$1.46–$1.51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 above mid</w:t>
            </w:r>
          </w:p>
        </w:tc>
      </w:tr>
      <w:tr>
        <w:tc>
          <w:tcPr>
            <w:tcW w:type="dxa" w:w="1080"/>
          </w:tcPr>
          <w:p>
            <w:r>
              <w:rPr>
                <w:rFonts w:ascii="Calibri" w:hAnsi="Calibri"/>
                <w:sz w:val="22"/>
              </w:rPr>
              <w:t>Non-GAAP Operating Income — Q2 2026</w:t>
            </w:r>
          </w:p>
        </w:tc>
        <w:tc>
          <w:tcPr>
            <w:tcW w:type="dxa" w:w="1080"/>
          </w:tcPr>
          <w:p>
            <w:r>
              <w:rPr>
                <w:rFonts w:ascii="Calibri" w:hAnsi="Calibri"/>
                <w:sz w:val="22"/>
              </w:rPr>
              <w:t>$837M</w:t>
            </w:r>
          </w:p>
        </w:tc>
        <w:tc>
          <w:tcPr>
            <w:tcW w:type="dxa" w:w="1080"/>
          </w:tcPr>
          <w:p>
            <w:r>
              <w:rPr>
                <w:rFonts w:ascii="Calibri" w:hAnsi="Calibri"/>
                <w:sz w:val="22"/>
              </w:rPr>
              <w:t>$839M</w:t>
            </w:r>
          </w:p>
        </w:tc>
        <w:tc>
          <w:tcPr>
            <w:tcW w:type="dxa" w:w="1080"/>
          </w:tcPr>
          <w:p>
            <w:r>
              <w:rPr>
                <w:rFonts w:ascii="Calibri" w:hAnsi="Calibri"/>
                <w:sz w:val="22"/>
              </w:rPr>
              <w:t>+0.2%</w:t>
            </w:r>
          </w:p>
        </w:tc>
        <w:tc>
          <w:tcPr>
            <w:tcW w:type="dxa" w:w="1080"/>
          </w:tcPr>
          <w:p>
            <w:r>
              <w:rPr>
                <w:rFonts w:ascii="Calibri" w:hAnsi="Calibri"/>
                <w:sz w:val="22"/>
              </w:rPr>
              <w:t>6%–10% YoY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above mid</w:t>
            </w:r>
          </w:p>
        </w:tc>
      </w:tr>
      <w:tr>
        <w:tc>
          <w:tcPr>
            <w:tcW w:type="dxa" w:w="1080"/>
          </w:tcPr>
          <w:p>
            <w:r>
              <w:rPr>
                <w:rFonts w:ascii="Calibri" w:hAnsi="Calibri"/>
                <w:sz w:val="22"/>
              </w:rPr>
              <w:t>Advertising Revenue — Q2 2026</w:t>
            </w:r>
          </w:p>
        </w:tc>
        <w:tc>
          <w:tcPr>
            <w:tcW w:type="dxa" w:w="1080"/>
          </w:tcPr>
          <w:p>
            <w:r>
              <w:rPr>
                <w:rFonts w:ascii="Calibri" w:hAnsi="Calibri"/>
                <w:sz w:val="22"/>
              </w:rPr>
              <w:t>$574M</w:t>
            </w:r>
          </w:p>
        </w:tc>
        <w:tc>
          <w:tcPr>
            <w:tcW w:type="dxa" w:w="1080"/>
          </w:tcPr>
          <w:p>
            <w:r>
              <w:rPr>
                <w:rFonts w:ascii="Calibri" w:hAnsi="Calibri"/>
                <w:sz w:val="22"/>
              </w:rPr>
              <w:t>$575M</w:t>
            </w:r>
          </w:p>
        </w:tc>
        <w:tc>
          <w:tcPr>
            <w:tcW w:type="dxa" w:w="1080"/>
          </w:tcPr>
          <w:p>
            <w:r>
              <w:rPr>
                <w:rFonts w:ascii="Calibri" w:hAnsi="Calibri"/>
                <w:sz w:val="22"/>
              </w:rPr>
              <w:t>+0.2%</w:t>
            </w:r>
          </w:p>
        </w:tc>
        <w:tc>
          <w:tcPr>
            <w:tcW w:type="dxa" w:w="1080"/>
          </w:tcPr>
          <w:p>
            <w:r>
              <w:rPr>
                <w:rFonts w:ascii="Calibri" w:hAnsi="Calibri"/>
                <w:sz w:val="22"/>
              </w:rPr>
              <w:t>No specific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Revenue — FY 2026</w:t>
            </w:r>
          </w:p>
        </w:tc>
        <w:tc>
          <w:tcPr>
            <w:tcW w:type="dxa" w:w="1080"/>
          </w:tcPr>
          <w:p>
            <w:r>
              <w:rPr>
                <w:rFonts w:ascii="Calibri" w:hAnsi="Calibri"/>
                <w:sz w:val="22"/>
              </w:rPr>
              <w:t>$12.170B</w:t>
            </w:r>
          </w:p>
        </w:tc>
        <w:tc>
          <w:tcPr>
            <w:tcW w:type="dxa" w:w="1080"/>
          </w:tcPr>
          <w:p>
            <w:r>
              <w:rPr>
                <w:rFonts w:ascii="Calibri" w:hAnsi="Calibri"/>
                <w:sz w:val="22"/>
              </w:rPr>
              <w:t>$12.183B</w:t>
            </w:r>
          </w:p>
        </w:tc>
        <w:tc>
          <w:tcPr>
            <w:tcW w:type="dxa" w:w="1080"/>
          </w:tcPr>
          <w:p>
            <w:r>
              <w:rPr>
                <w:rFonts w:ascii="Calibri" w:hAnsi="Calibri"/>
                <w:sz w:val="22"/>
              </w:rPr>
              <w:t>+0.1%</w:t>
            </w:r>
          </w:p>
        </w:tc>
        <w:tc>
          <w:tcPr>
            <w:tcW w:type="dxa" w:w="1080"/>
          </w:tcPr>
          <w:p>
            <w:r>
              <w:rPr>
                <w:rFonts w:ascii="Calibri" w:hAnsi="Calibri"/>
                <w:sz w:val="22"/>
              </w:rPr>
              <w:t>In-line to slightly ahead of GMV growth (FX-neutral)</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 2026</w:t>
            </w:r>
          </w:p>
        </w:tc>
        <w:tc>
          <w:tcPr>
            <w:tcW w:type="dxa" w:w="1080"/>
          </w:tcPr>
          <w:p>
            <w:r>
              <w:rPr>
                <w:rFonts w:ascii="Calibri" w:hAnsi="Calibri"/>
                <w:sz w:val="22"/>
              </w:rPr>
              <w:t>$6.121</w:t>
            </w:r>
          </w:p>
        </w:tc>
        <w:tc>
          <w:tcPr>
            <w:tcW w:type="dxa" w:w="1080"/>
          </w:tcPr>
          <w:p>
            <w:r>
              <w:rPr>
                <w:rFonts w:ascii="Calibri" w:hAnsi="Calibri"/>
                <w:sz w:val="22"/>
              </w:rPr>
              <w:t>$6.118</w:t>
            </w:r>
          </w:p>
        </w:tc>
        <w:tc>
          <w:tcPr>
            <w:tcW w:type="dxa" w:w="1080"/>
          </w:tcPr>
          <w:p>
            <w:r>
              <w:rPr>
                <w:rFonts w:ascii="Calibri" w:hAnsi="Calibri"/>
                <w:sz w:val="22"/>
              </w:rPr>
              <w:t>-0.1%</w:t>
            </w:r>
          </w:p>
        </w:tc>
        <w:tc>
          <w:tcPr>
            <w:tcW w:type="dxa" w:w="1080"/>
          </w:tcPr>
          <w:p>
            <w:r>
              <w:rPr>
                <w:rFonts w:ascii="Calibri" w:hAnsi="Calibri"/>
                <w:sz w:val="22"/>
              </w:rPr>
              <w:t>Relatively in-line with op. income growth (8%–10%)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essentially flat since the Q1 2026 print — all key KPIs moved less than 0.2% in either direction — indicating the Street is comfortable with the guided range and has not pre-positioned for either a beat or a miss. The primary revision risk heading into the print is Q3 guidance, where Depop integration costs (management guided a low-single-digit headwind to operating income growth) could cause the Street to revise FY 2026 EPS lower post-print.</w:t>
      </w:r>
    </w:p>
    <w:p>
      <w:r>
        <w:rPr>
          <w:rFonts w:ascii="Calibri" w:hAnsi="Calibri"/>
          <w:i/>
          <w:color w:val="525866"/>
          <w:sz w:val="22"/>
        </w:rPr>
        <w:t>Source: Visible Alpha consensus and actuals data. Baseline as of May 5, 2026 (5 trading days post Q1 2026 earnings).</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EBAY has underperformed both the S&amp;P 500 and the retail ETF (XRT) since Q1 earnings, gaining ~5.6% vs. SPY +8.4% and XRT +10.2%, as Depop integration concerns and the Wells Fargo downgrade on August 3 weighed on sentiment; the underperformance is multiple-driven rather than estimate-driven, as consensus numbers have barely moved.</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EBAY vs. XRT (SPDR S&amp;P Retail ETF) vs. S&amp;P 500 (SPY) — Indexed to 100 at Q1 2026 Earnings Date (April 29, 2026). Source: Yahoo Finance.</w:t>
      </w:r>
    </w:p>
    <w:p>
      <w:r>
        <w:rPr>
          <w:rFonts w:ascii="Calibri" w:hAnsi="Calibri"/>
          <w:b/>
          <w:color w:val="525866"/>
          <w:sz w:val="22"/>
        </w:rPr>
        <w:t xml:space="preserve">Sector ETF: </w:t>
      </w:r>
      <w:r>
        <w:rPr>
          <w:rFonts w:ascii="Calibri" w:hAnsi="Calibri"/>
          <w:color w:val="525866"/>
          <w:sz w:val="22"/>
        </w:rPr>
        <w:t>XRT (SPDR S&amp;P Retail ETF) — selected as the most appropriate benchmark given eBay's classification as a consumer discretionary / e-commerce marketplace operator.</w:t>
      </w:r>
    </w:p>
    <w:p>
      <w:pPr>
        <w:pStyle w:val="ListBullet"/>
        <w:ind w:left="360" w:hanging="360"/>
      </w:pPr>
      <w:r>
        <w:rPr>
          <w:rFonts w:ascii="Calibri" w:hAnsi="Calibri"/>
          <w:b/>
          <w:color w:val="525866"/>
          <w:sz w:val="22"/>
        </w:rPr>
        <w:t>EBAY +5.6%</w:t>
      </w:r>
      <w:r>
        <w:rPr>
          <w:rFonts w:ascii="Calibri" w:hAnsi="Calibri"/>
          <w:color w:val="525866"/>
          <w:sz w:val="22"/>
        </w:rPr>
        <w:t xml:space="preserve"> since April 29, 2026 (Q1 earnings date), closing at $107.13 on August 3, 2026 vs. $103.79 at the close on earnings day. The stock initially rallied to a high of ~$119 in mid-May on the Q1 beat and raised full-year GMV guidance, before fading as Depop integration cost concerns mounted.</w:t>
      </w:r>
    </w:p>
    <w:p>
      <w:pPr>
        <w:pStyle w:val="ListBullet"/>
        <w:ind w:left="360" w:hanging="360"/>
      </w:pPr>
      <w:r>
        <w:rPr>
          <w:rFonts w:ascii="Calibri" w:hAnsi="Calibri"/>
          <w:b/>
          <w:color w:val="525866"/>
          <w:sz w:val="22"/>
        </w:rPr>
        <w:t>XRT +10.2%</w:t>
      </w:r>
      <w:r>
        <w:rPr>
          <w:rFonts w:ascii="Calibri" w:hAnsi="Calibri"/>
          <w:color w:val="525866"/>
          <w:sz w:val="22"/>
        </w:rPr>
        <w:t xml:space="preserve"> over the same period, reflecting broader retail sector strength and consumer resilience data.</w:t>
      </w:r>
    </w:p>
    <w:p>
      <w:pPr>
        <w:pStyle w:val="ListBullet"/>
        <w:ind w:left="360" w:hanging="360"/>
      </w:pPr>
      <w:r>
        <w:rPr>
          <w:rFonts w:ascii="Calibri" w:hAnsi="Calibri"/>
          <w:b/>
          <w:color w:val="525866"/>
          <w:sz w:val="22"/>
        </w:rPr>
        <w:t>SPY +8.4%</w:t>
      </w:r>
      <w:r>
        <w:rPr>
          <w:rFonts w:ascii="Calibri" w:hAnsi="Calibri"/>
          <w:color w:val="525866"/>
          <w:sz w:val="22"/>
        </w:rPr>
        <w:t xml:space="preserve"> over the same period, driven by continued AI-related multiple expansion and strong macro data.</w:t>
      </w:r>
    </w:p>
    <w:p>
      <w:pPr>
        <w:pStyle w:val="ListBullet"/>
        <w:ind w:left="360" w:hanging="360"/>
      </w:pPr>
      <w:r>
        <w:rPr>
          <w:rFonts w:ascii="Calibri" w:hAnsi="Calibri"/>
          <w:b/>
          <w:color w:val="525866"/>
          <w:sz w:val="22"/>
        </w:rPr>
        <w:t xml:space="preserve">Key events: </w:t>
      </w:r>
      <w:r>
        <w:rPr>
          <w:rFonts w:ascii="Calibri" w:hAnsi="Calibri"/>
          <w:color w:val="525866"/>
          <w:sz w:val="22"/>
        </w:rPr>
        <w:t>Full-year GMV guidance raised at Q1 earnings (May 4 filing); CMA cleared Depop deal (July 15); Depop acquisition closed (July 30); Wells Fargo downgrade to Underweight with PT cut to $92 (August 3) — the downgrade was the most significant negative catalyst, citing Vinted's US expansion and Depop margin dilution.</w:t>
      </w:r>
    </w:p>
    <w:p>
      <w:pPr>
        <w:pStyle w:val="ListBullet"/>
        <w:ind w:left="360" w:hanging="360"/>
      </w:pPr>
      <w:r>
        <w:rPr>
          <w:rFonts w:ascii="Calibri" w:hAnsi="Calibri"/>
          <w:b/>
          <w:color w:val="525866"/>
          <w:sz w:val="22"/>
        </w:rPr>
        <w:t xml:space="preserve">Valuation: </w:t>
      </w:r>
      <w:r>
        <w:rPr>
          <w:rFonts w:ascii="Calibri" w:hAnsi="Calibri"/>
          <w:color w:val="525866"/>
          <w:sz w:val="22"/>
        </w:rPr>
        <w:t>At $107, EBAY trades at ~17.5x FY 2026 consensus Non-GAAP EPS of $6.12, a discount to the S&amp;P 500 and well below high-growth e-commerce peers, reflecting skepticism about growth durability and margin trajectory post-Depop.</w:t>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Depop acquisition closing on July 30 — one quarter ahead of the guided Q3-end timeline — which crystallizes the EPS dilution headwind and makes Q3 guidance the critical variable for the print. The Wells Fargo downgrade on August 3 has added pre-earnings selling pressure.</w:t>
      </w:r>
    </w:p>
    <w:p>
      <w:pPr>
        <w:pStyle w:val="ListBullet"/>
        <w:ind w:left="360" w:hanging="360"/>
      </w:pPr>
      <w:r>
        <w:rPr>
          <w:rFonts w:ascii="Calibri" w:hAnsi="Calibri"/>
          <w:b/>
          <w:color w:val="525866"/>
          <w:sz w:val="22"/>
        </w:rPr>
        <w:t>July 30, 2026 — Depop Acquisition Closed ($1.2B all-cash).</w:t>
      </w:r>
      <w:r>
        <w:rPr>
          <w:rFonts w:ascii="Calibri" w:hAnsi="Calibri"/>
          <w:color w:val="525866"/>
          <w:sz w:val="22"/>
        </w:rPr>
        <w:t xml:space="preserve"> eBay completed the acquisition of Depop from Etsy, closing approximately two months ahead of the original Q3-end guidance. Depop will operate as a standalone brand targeting Gen Z and Millennial C2C fashion buyers. </w:t>
      </w:r>
    </w:p>
    <w:p>
      <w:pPr>
        <w:pStyle w:val="ListBullet"/>
        <w:ind w:left="360" w:hanging="360"/>
      </w:pPr>
      <w:r>
        <w:rPr>
          <w:rFonts w:ascii="Calibri" w:hAnsi="Calibri"/>
          <w:b/>
          <w:color w:val="525866"/>
          <w:sz w:val="22"/>
        </w:rPr>
        <w:t xml:space="preserve">Implication: </w:t>
      </w:r>
      <w:r>
        <w:rPr>
          <w:rFonts w:ascii="Calibri" w:hAnsi="Calibri"/>
          <w:color w:val="525866"/>
          <w:sz w:val="22"/>
        </w:rPr>
        <w:t>Depop's operating losses and integration costs will now flow through Q3 2026 results. Management had guided a low-single-digit headwind to operating income growth and a modestly higher EPS dilution due to foregone interest income on the $1.2B cash outlay. Q3 guidance will be the first full quarter with Depop consolidated.</w:t>
      </w:r>
    </w:p>
    <w:p>
      <w:pPr>
        <w:pStyle w:val="ListBullet"/>
        <w:ind w:left="360" w:hanging="360"/>
      </w:pPr>
      <w:r>
        <w:rPr>
          <w:rFonts w:ascii="Calibri" w:hAnsi="Calibri"/>
          <w:b/>
          <w:color w:val="525866"/>
          <w:sz w:val="22"/>
        </w:rPr>
        <w:t>July 15, 2026 — UK CMA Clears Depop Acquisition.</w:t>
      </w:r>
      <w:r>
        <w:rPr>
          <w:rFonts w:ascii="Calibri" w:hAnsi="Calibri"/>
          <w:color w:val="525866"/>
          <w:sz w:val="22"/>
        </w:rPr>
        <w:t xml:space="preserve"> The UK Competition and Markets Authority approved the deal following a formal merger investigation opened in June. The CMA's clearance removed the last regulatory hurdle and enabled the July 30 close.</w:t>
      </w:r>
    </w:p>
    <w:p>
      <w:pPr>
        <w:pStyle w:val="ListBullet"/>
        <w:ind w:left="360" w:hanging="360"/>
      </w:pPr>
      <w:r>
        <w:rPr>
          <w:rFonts w:ascii="Calibri" w:hAnsi="Calibri"/>
          <w:b/>
          <w:color w:val="525866"/>
          <w:sz w:val="22"/>
        </w:rPr>
        <w:t>August 3, 2026 — Wells Fargo Downgrades EBAY to Underweight; PT Cut to $92 from $105.</w:t>
      </w:r>
      <w:r>
        <w:rPr>
          <w:rFonts w:ascii="Calibri" w:hAnsi="Calibri"/>
          <w:color w:val="525866"/>
          <w:sz w:val="22"/>
        </w:rPr>
        <w:t xml:space="preserve"> Analyst Ken Gawrelski cited intensifying competition in fashion and apparel resale, specifically Vinted's US daily active users growing more than six-fold in Q2 from a year earlier following its January US market entry. Gawrelski also trimmed his 2027 EPS forecast by 10%, placing it meaningfully below consensus, and expects Depop's marketing spend to shave ~$0.15 off Q3 EPS. </w:t>
      </w:r>
    </w:p>
    <w:p>
      <w:pPr>
        <w:pStyle w:val="ListBullet"/>
        <w:ind w:left="360" w:hanging="360"/>
      </w:pPr>
      <w:r>
        <w:rPr>
          <w:rFonts w:ascii="Calibri" w:hAnsi="Calibri"/>
          <w:b/>
          <w:color w:val="525866"/>
          <w:sz w:val="22"/>
        </w:rPr>
        <w:t xml:space="preserve">Implication: </w:t>
      </w:r>
      <w:r>
        <w:rPr>
          <w:rFonts w:ascii="Calibri" w:hAnsi="Calibri"/>
          <w:color w:val="525866"/>
          <w:sz w:val="22"/>
        </w:rPr>
        <w:t>The downgrade has raised the bar for management to address the Vinted competitive threat and Depop margin trajectory on the Q2 call. Stock fell ~3.5% in pre-market on August 3.</w:t>
      </w:r>
    </w:p>
    <w:p>
      <w:pPr>
        <w:pStyle w:val="ListBullet"/>
        <w:ind w:left="360" w:hanging="360"/>
      </w:pPr>
      <w:r>
        <w:rPr>
          <w:rFonts w:ascii="Calibri" w:hAnsi="Calibri"/>
          <w:b/>
          <w:color w:val="525866"/>
          <w:sz w:val="22"/>
        </w:rPr>
        <w:t>August 3, 2026 — Citizens Downgrades EBAY.</w:t>
      </w:r>
      <w:r>
        <w:rPr>
          <w:rFonts w:ascii="Calibri" w:hAnsi="Calibri"/>
          <w:color w:val="525866"/>
          <w:sz w:val="22"/>
        </w:rPr>
        <w:t xml:space="preserve"> Citizens also downgraded eBay, citing Depop spending and rising competition in online resale as likely to weigh on profitability. This adds to the pre-earnings negative sentiment.</w:t>
      </w:r>
    </w:p>
    <w:p>
      <w:pPr>
        <w:pStyle w:val="ListBullet"/>
        <w:ind w:left="360" w:hanging="360"/>
      </w:pPr>
      <w:r>
        <w:rPr>
          <w:rFonts w:ascii="Calibri" w:hAnsi="Calibri"/>
          <w:b/>
          <w:color w:val="525866"/>
          <w:sz w:val="22"/>
        </w:rPr>
        <w:t>July 22, 2026 — BofA Securities Raises PT to $120 from $110.</w:t>
      </w:r>
      <w:r>
        <w:rPr>
          <w:rFonts w:ascii="Calibri" w:hAnsi="Calibri"/>
          <w:color w:val="525866"/>
          <w:sz w:val="22"/>
        </w:rPr>
        <w:t xml:space="preserve"> BofA maintained a constructive view, raising its price target ahead of earnings, reflecting confidence in eBay's GMV trajectory and advertising monetization.</w:t>
      </w:r>
    </w:p>
    <w:p>
      <w:pPr>
        <w:pStyle w:val="ListBullet"/>
        <w:ind w:left="360" w:hanging="360"/>
      </w:pPr>
      <w:r>
        <w:rPr>
          <w:rFonts w:ascii="Calibri" w:hAnsi="Calibri"/>
          <w:b/>
          <w:color w:val="525866"/>
          <w:sz w:val="22"/>
        </w:rPr>
        <w:t>July 15, 2026 — Baird Raises PT to $125 from $117; Maintains Outperform.</w:t>
      </w:r>
      <w:r>
        <w:rPr>
          <w:rFonts w:ascii="Calibri" w:hAnsi="Calibri"/>
          <w:color w:val="525866"/>
          <w:sz w:val="22"/>
        </w:rPr>
        <w:t xml:space="preserve"> Baird remains bullish, citing focus category momentum and AI-driven platform improvements.</w:t>
      </w:r>
    </w:p>
    <w:p>
      <w:pPr>
        <w:pStyle w:val="ListBullet"/>
        <w:ind w:left="360" w:hanging="360"/>
      </w:pPr>
      <w:r>
        <w:rPr>
          <w:rFonts w:ascii="Calibri" w:hAnsi="Calibri"/>
          <w:b/>
          <w:color w:val="525866"/>
          <w:sz w:val="22"/>
        </w:rPr>
        <w:t>July 14, 2026 — Jefferies Raises PT to $75 from $65; Maintains Underperform.</w:t>
      </w:r>
      <w:r>
        <w:rPr>
          <w:rFonts w:ascii="Calibri" w:hAnsi="Calibri"/>
          <w:color w:val="525866"/>
          <w:sz w:val="22"/>
        </w:rPr>
        <w:t xml:space="preserve"> Jefferies remains the most bearish on the Street, though even they raised their target, acknowledging the stronger-than-expected GMV trajectory.</w:t>
      </w:r>
    </w:p>
    <w:p>
      <w:pPr>
        <w:pStyle w:val="ListBullet"/>
        <w:ind w:left="360" w:hanging="360"/>
      </w:pPr>
      <w:r>
        <w:rPr>
          <w:rFonts w:ascii="Calibri" w:hAnsi="Calibri"/>
          <w:b/>
          <w:color w:val="525866"/>
          <w:sz w:val="22"/>
        </w:rPr>
        <w:t>Post-Q1 2026 — Facebook Marketplace Integration Goes Live.</w:t>
      </w:r>
      <w:r>
        <w:rPr>
          <w:rFonts w:ascii="Calibri" w:hAnsi="Calibri"/>
          <w:color w:val="525866"/>
          <w:sz w:val="22"/>
        </w:rPr>
        <w:t xml:space="preserve"> eBay inventory is now enabled in the Facebook Marketplace search box for the majority of users in the US, Germany, and France — transitioning from a pilot to general availability. </w:t>
      </w:r>
    </w:p>
    <w:p>
      <w:pPr>
        <w:pStyle w:val="ListBullet"/>
        <w:ind w:left="360" w:hanging="360"/>
      </w:pPr>
      <w:r>
        <w:rPr>
          <w:rFonts w:ascii="Calibri" w:hAnsi="Calibri"/>
          <w:b/>
          <w:color w:val="525866"/>
          <w:sz w:val="22"/>
        </w:rPr>
        <w:t xml:space="preserve">Implication: </w:t>
      </w:r>
      <w:r>
        <w:rPr>
          <w:rFonts w:ascii="Calibri" w:hAnsi="Calibri"/>
          <w:color w:val="525866"/>
          <w:sz w:val="22"/>
        </w:rPr>
        <w:t>This is a meaningful incremental traffic driver for eBay sellers and could support GMV in Q2 and beyond, particularly in the US where the integration is most mature.</w:t>
      </w:r>
    </w:p>
    <w:p>
      <w:pPr>
        <w:pStyle w:val="ListBullet"/>
        <w:ind w:left="360" w:hanging="360"/>
      </w:pPr>
      <w:r>
        <w:rPr>
          <w:rFonts w:ascii="Calibri" w:hAnsi="Calibri"/>
          <w:b/>
          <w:color w:val="525866"/>
          <w:sz w:val="22"/>
        </w:rPr>
        <w:t>Ongoing — Vinted US Expansion Accelerating.</w:t>
      </w:r>
      <w:r>
        <w:rPr>
          <w:rFonts w:ascii="Calibri" w:hAnsi="Calibri"/>
          <w:color w:val="525866"/>
          <w:sz w:val="22"/>
        </w:rPr>
        <w:t xml:space="preserve"> Vinted's US daily active users grew more than six-fold in Q2 2026 from a year earlier, and its US user base now represents approximately 6% of eBay's monthly active users domestically (per Bernstein SocGen). Vinted charges no seller fees (buyers pay a protection fee), creating a structural pricing advantage in casual fashion resale. </w:t>
      </w:r>
    </w:p>
    <w:p>
      <w:pPr>
        <w:pStyle w:val="ListBullet"/>
        <w:ind w:left="360" w:hanging="360"/>
      </w:pPr>
      <w:r>
        <w:rPr>
          <w:rFonts w:ascii="Calibri" w:hAnsi="Calibri"/>
          <w:b/>
          <w:color w:val="525866"/>
          <w:sz w:val="22"/>
        </w:rPr>
        <w:t xml:space="preserve">Implication: </w:t>
      </w:r>
      <w:r>
        <w:rPr>
          <w:rFonts w:ascii="Calibri" w:hAnsi="Calibri"/>
          <w:color w:val="525866"/>
          <w:sz w:val="22"/>
        </w:rPr>
        <w:t>The competitive threat is most acute in eBay's fashion category, which is also where Depop competes. Management will need to articulate a differentiated response on the Q2 call.</w:t>
      </w:r>
    </w:p>
    <w:p>
      <w:r>
        <w:br w:type="page"/>
      </w:r>
    </w:p>
    <w:p>
      <w:pPr>
        <w:pStyle w:val="Heading2"/>
      </w:pPr>
      <w:r>
        <w:rPr>
          <w:rFonts w:ascii="Calibri" w:hAnsi="Calibri"/>
          <w:b/>
          <w:color w:val="3B4259"/>
          <w:sz w:val="28"/>
        </w:rPr>
        <w:t>Peer Commentaries &amp; Read-Throughs</w:t>
      </w:r>
    </w:p>
    <w:p>
      <w:r>
        <w:rPr>
          <w:rFonts w:ascii="Calibri" w:hAnsi="Calibri"/>
          <w:b/>
          <w:color w:val="525866"/>
          <w:sz w:val="22"/>
        </w:rPr>
        <w:t xml:space="preserve">Key Takeaway: </w:t>
      </w:r>
      <w:r>
        <w:rPr>
          <w:rFonts w:ascii="Calibri" w:hAnsi="Calibri"/>
          <w:color w:val="525866"/>
          <w:sz w:val="22"/>
        </w:rPr>
        <w:t>Q2 2026 earnings from Amazon, Alphabet, and Meta collectively paint a constructive picture for eBay's quarter — retail advertising demand was strong across all three platforms, consumer spending remained resilient in the US, and AI-powered commerce tools are driving incremental engagement. Amazon's tariff commentary and strong e-commerce volumes are particularly relevant read-throughs for eBay's cross-border GMV and US marketplace health.</w:t>
      </w:r>
    </w:p>
    <w:p>
      <w:r>
        <w:rPr>
          <w:rFonts w:ascii="Calibri" w:hAnsi="Calibri"/>
          <w:b/>
          <w:color w:val="525866"/>
          <w:sz w:val="22"/>
        </w:rPr>
        <w:t xml:space="preserve">Note: </w:t>
      </w:r>
      <w:r>
        <w:rPr>
          <w:rFonts w:ascii="Calibri" w:hAnsi="Calibri"/>
          <w:i/>
          <w:color w:val="525866"/>
          <w:sz w:val="22"/>
        </w:rPr>
        <w:t>All peer commentary below is from Q2 2026 earnings calls/releases (reported July 22–30, 2026), covering the same calendar quarter as eBay's upcoming Q2 2026 report. This is forward-looking read-through commentary about the current reporting period, not prior-quarter results.</w:t>
      </w:r>
    </w:p>
    <w:p>
      <w:pPr>
        <w:pStyle w:val="Heading3"/>
      </w:pPr>
      <w:r>
        <w:rPr>
          <w:rFonts w:ascii="Calibri" w:hAnsi="Calibri"/>
          <w:b/>
          <w:color w:val="3B4259"/>
          <w:sz w:val="24"/>
        </w:rPr>
        <w:t>Amazon (AMZN) — Q2 2026 Earnings (Reported July 30, 2026)</w:t>
      </w:r>
    </w:p>
    <w:p>
      <w:r>
        <w:rPr>
          <w:rFonts w:ascii="Calibri" w:hAnsi="Calibri"/>
          <w:b/>
          <w:color w:val="525866"/>
          <w:sz w:val="22"/>
        </w:rPr>
        <w:t xml:space="preserve">Relevance: </w:t>
      </w:r>
      <w:r>
        <w:rPr>
          <w:rFonts w:ascii="Calibri" w:hAnsi="Calibri"/>
          <w:color w:val="525866"/>
          <w:sz w:val="22"/>
        </w:rPr>
        <w:t>Amazon is the most direct read-through for US e-commerce health, consumer spending, and tariff impact on marketplace GMV.</w:t>
      </w:r>
    </w:p>
    <w:p>
      <w:pPr>
        <w:pStyle w:val="ListBullet"/>
        <w:ind w:left="360" w:hanging="360"/>
      </w:pPr>
      <w:r>
        <w:rPr>
          <w:rFonts w:ascii="Calibri" w:hAnsi="Calibri"/>
          <w:b/>
          <w:color w:val="525866"/>
          <w:sz w:val="22"/>
        </w:rPr>
        <w:t xml:space="preserve">Strong US e-commerce volumes: </w:t>
      </w:r>
      <w:r>
        <w:rPr>
          <w:rFonts w:ascii="Calibri" w:hAnsi="Calibri"/>
          <w:color w:val="525866"/>
          <w:sz w:val="22"/>
        </w:rPr>
        <w:t xml:space="preserve">Amazon reported worldwide revenue of $200.6B (+20% YoY) with North America segment revenue of $116.2B (+16% YoY). Worldwide paid units grew 17% YoY (ex-FX). Prime Day in Q2 drove strong consumer engagement, with over 80% of deals at their lowest price of the year. </w:t>
      </w:r>
    </w:p>
    <w:p>
      <w:pPr>
        <w:pStyle w:val="ListBullet"/>
        <w:ind w:left="360" w:hanging="360"/>
      </w:pPr>
      <w:r>
        <w:rPr>
          <w:rFonts w:ascii="Calibri" w:hAnsi="Calibri"/>
          <w:b/>
          <w:color w:val="525866"/>
          <w:sz w:val="22"/>
        </w:rPr>
        <w:t xml:space="preserve">Read-through for EBAY: </w:t>
      </w:r>
      <w:r>
        <w:rPr>
          <w:rFonts w:ascii="Calibri" w:hAnsi="Calibri"/>
          <w:color w:val="525866"/>
          <w:sz w:val="22"/>
        </w:rPr>
        <w:t>Robust US consumer spending and strong unit volumes at Amazon suggest the broader e-commerce demand environment was healthy in Q2, supporting eBay's guided 8–10% FX-neutral GMV growth. Amazon's commentary that customers are "considering you for a lot more of their total purchases" when selection, price, and speed are available is consistent with eBay's focus category strategy.</w:t>
      </w:r>
    </w:p>
    <w:p>
      <w:pPr>
        <w:pStyle w:val="ListBullet"/>
        <w:ind w:left="360" w:hanging="360"/>
      </w:pPr>
      <w:r>
        <w:rPr>
          <w:rFonts w:ascii="Calibri" w:hAnsi="Calibri"/>
          <w:b/>
          <w:color w:val="525866"/>
          <w:sz w:val="22"/>
        </w:rPr>
        <w:t xml:space="preserve">Tariff commentary — manageable impact: </w:t>
      </w:r>
      <w:r>
        <w:rPr>
          <w:rFonts w:ascii="Calibri" w:hAnsi="Calibri"/>
          <w:color w:val="525866"/>
          <w:sz w:val="22"/>
        </w:rPr>
        <w:t xml:space="preserve">Amazon received ~$600M in tariff-related refunds in Q2 and noted it is not the importer of record for the majority of items sold. Amazon largely absorbed tariff cost increases rather than passing them to customers, maintaining prices 14% below other retailers. </w:t>
      </w:r>
    </w:p>
    <w:p>
      <w:pPr>
        <w:pStyle w:val="ListBullet"/>
        <w:ind w:left="360" w:hanging="360"/>
      </w:pPr>
      <w:r>
        <w:rPr>
          <w:rFonts w:ascii="Calibri" w:hAnsi="Calibri"/>
          <w:b/>
          <w:color w:val="525866"/>
          <w:sz w:val="22"/>
        </w:rPr>
        <w:t xml:space="preserve">Read-through for EBAY: </w:t>
      </w:r>
      <w:r>
        <w:rPr>
          <w:rFonts w:ascii="Calibri" w:hAnsi="Calibri"/>
          <w:color w:val="525866"/>
          <w:sz w:val="22"/>
        </w:rPr>
        <w:t>Amazon's ability to absorb tariff costs without significant demand disruption is a positive signal for eBay's cross-border GMV, which had been pressured by de minimis policy changes. eBay's cross-border shipping solutions (EIS in Canada, SpeedPAK in Germany) appear well-positioned given the broader tariff environment stabilized in Q2.</w:t>
      </w:r>
    </w:p>
    <w:p>
      <w:pPr>
        <w:pStyle w:val="ListBullet"/>
        <w:ind w:left="360" w:hanging="360"/>
      </w:pPr>
      <w:r>
        <w:rPr>
          <w:rFonts w:ascii="Calibri" w:hAnsi="Calibri"/>
          <w:b/>
          <w:color w:val="525866"/>
          <w:sz w:val="22"/>
        </w:rPr>
        <w:t xml:space="preserve">Advertising revenue +26% YoY to $19.8B: </w:t>
      </w:r>
      <w:r>
        <w:rPr>
          <w:rFonts w:ascii="Calibri" w:hAnsi="Calibri"/>
          <w:color w:val="525866"/>
          <w:sz w:val="22"/>
        </w:rPr>
        <w:t xml:space="preserve">Amazon Ads continued to grow strongly, with sponsored products as the key driver. AI-powered ad tools (Ads Agent) drove 8% lower cost per impression and 6% lower cost per acquisition. </w:t>
      </w:r>
    </w:p>
    <w:p>
      <w:pPr>
        <w:pStyle w:val="ListBullet"/>
        <w:ind w:left="360" w:hanging="360"/>
      </w:pPr>
      <w:r>
        <w:rPr>
          <w:rFonts w:ascii="Calibri" w:hAnsi="Calibri"/>
          <w:b/>
          <w:color w:val="525866"/>
          <w:sz w:val="22"/>
        </w:rPr>
        <w:t xml:space="preserve">Read-through for EBAY: </w:t>
      </w:r>
      <w:r>
        <w:rPr>
          <w:rFonts w:ascii="Calibri" w:hAnsi="Calibri"/>
          <w:color w:val="525866"/>
          <w:sz w:val="22"/>
        </w:rPr>
        <w:t>Strong advertising demand across the e-commerce ecosystem is a positive read-through for eBay's first-party advertising revenue, which grew 28% FX-neutral in Q1 2026. If the advertising demand environment remained robust in Q2, eBay's ~$575M advertising consensus estimate could have upside.</w:t>
      </w:r>
    </w:p>
    <w:p>
      <w:pPr>
        <w:pStyle w:val="ListBullet"/>
        <w:ind w:left="360" w:hanging="360"/>
      </w:pPr>
      <w:r>
        <w:rPr>
          <w:rFonts w:ascii="Calibri" w:hAnsi="Calibri"/>
          <w:b/>
          <w:color w:val="525866"/>
          <w:sz w:val="22"/>
        </w:rPr>
        <w:t xml:space="preserve">Agentic AI driving incremental commerce: </w:t>
      </w:r>
      <w:r>
        <w:rPr>
          <w:rFonts w:ascii="Calibri" w:hAnsi="Calibri"/>
          <w:color w:val="525866"/>
          <w:sz w:val="22"/>
        </w:rPr>
        <w:t xml:space="preserve">Amazon noted that shoppers using Alexa for shopping (agentic AI) convert 48% more often and spend 21% more on average. Active users of Alexa for shopping nearly doubled in Q2. </w:t>
      </w:r>
    </w:p>
    <w:p>
      <w:pPr>
        <w:pStyle w:val="ListBullet"/>
        <w:ind w:left="360" w:hanging="360"/>
      </w:pPr>
      <w:r>
        <w:rPr>
          <w:rFonts w:ascii="Calibri" w:hAnsi="Calibri"/>
          <w:b/>
          <w:color w:val="525866"/>
          <w:sz w:val="22"/>
        </w:rPr>
        <w:t xml:space="preserve">Read-through for EBAY: </w:t>
      </w:r>
      <w:r>
        <w:rPr>
          <w:rFonts w:ascii="Calibri" w:hAnsi="Calibri"/>
          <w:color w:val="525866"/>
          <w:sz w:val="22"/>
        </w:rPr>
        <w:t>Validates eBay's thesis that agentic AI is a structural tailwind for marketplace commerce. eBay management noted on the Q1 call that buyers arriving via third-party AI models (e.g., ChatGPT) return to eBay organically at a high rate — Amazon's data supports the broader trend of AI-driven commerce engagement.</w:t>
      </w:r>
    </w:p>
    <w:p>
      <w:pPr>
        <w:pStyle w:val="Heading3"/>
      </w:pPr>
      <w:r>
        <w:rPr>
          <w:rFonts w:ascii="Calibri" w:hAnsi="Calibri"/>
          <w:b/>
          <w:color w:val="3B4259"/>
          <w:sz w:val="24"/>
        </w:rPr>
        <w:t>Alphabet / Google (GOOGL) — Q2 2026 Earnings (Reported July 22, 2026)</w:t>
      </w:r>
    </w:p>
    <w:p>
      <w:r>
        <w:rPr>
          <w:rFonts w:ascii="Calibri" w:hAnsi="Calibri"/>
          <w:b/>
          <w:color w:val="525866"/>
          <w:sz w:val="22"/>
        </w:rPr>
        <w:t xml:space="preserve">Relevance: </w:t>
      </w:r>
      <w:r>
        <w:rPr>
          <w:rFonts w:ascii="Calibri" w:hAnsi="Calibri"/>
          <w:color w:val="525866"/>
          <w:sz w:val="22"/>
        </w:rPr>
        <w:t>Google is eBay's largest source of organic and paid traffic. Google's retail advertising commentary is a direct read-through for eBay's seller advertising ROI and buyer acquisition costs.</w:t>
      </w:r>
    </w:p>
    <w:p>
      <w:pPr>
        <w:pStyle w:val="ListBullet"/>
        <w:ind w:left="360" w:hanging="360"/>
      </w:pPr>
      <w:r>
        <w:rPr>
          <w:rFonts w:ascii="Calibri" w:hAnsi="Calibri"/>
          <w:b/>
          <w:color w:val="525866"/>
          <w:sz w:val="22"/>
        </w:rPr>
        <w:t xml:space="preserve">Retail drove the greatest contribution to Google Search growth: </w:t>
      </w:r>
      <w:r>
        <w:rPr>
          <w:rFonts w:ascii="Calibri" w:hAnsi="Calibri"/>
          <w:color w:val="525866"/>
          <w:sz w:val="22"/>
        </w:rPr>
        <w:t xml:space="preserve">Google Search and other advertising revenues grew 17% YoY to $63.3B in Q2, with retail and finance driving the largest contributions. Total advertising revenues were up 14% with growth across all major verticals. </w:t>
      </w:r>
    </w:p>
    <w:p>
      <w:pPr>
        <w:pStyle w:val="ListBullet"/>
        <w:ind w:left="360" w:hanging="360"/>
      </w:pPr>
      <w:r>
        <w:rPr>
          <w:rFonts w:ascii="Calibri" w:hAnsi="Calibri"/>
          <w:b/>
          <w:color w:val="525866"/>
          <w:sz w:val="22"/>
        </w:rPr>
        <w:t xml:space="preserve">Read-through for EBAY: </w:t>
      </w:r>
      <w:r>
        <w:rPr>
          <w:rFonts w:ascii="Calibri" w:hAnsi="Calibri"/>
          <w:color w:val="525866"/>
          <w:sz w:val="22"/>
        </w:rPr>
        <w:t>Strong retail advertising demand on Google suggests eBay's sellers were likely spending more on promoted listings and external advertising in Q2, which is a positive signal for eBay's first-party advertising revenue. eBay's ~85% organic traffic share means Google's health also directly supports buyer acquisition.</w:t>
      </w:r>
    </w:p>
    <w:p>
      <w:pPr>
        <w:pStyle w:val="ListBullet"/>
        <w:ind w:left="360" w:hanging="360"/>
      </w:pPr>
      <w:r>
        <w:rPr>
          <w:rFonts w:ascii="Calibri" w:hAnsi="Calibri"/>
          <w:b/>
          <w:color w:val="525866"/>
          <w:sz w:val="22"/>
        </w:rPr>
        <w:t xml:space="preserve">AI-powered shopping ads improving relevance: </w:t>
      </w:r>
      <w:r>
        <w:rPr>
          <w:rFonts w:ascii="Calibri" w:hAnsi="Calibri"/>
          <w:color w:val="525866"/>
          <w:sz w:val="22"/>
        </w:rPr>
        <w:t xml:space="preserve">Gemini drove a 20% improvement in showing highly relevant shopping ads. AI Max is unlocking "billions of net new searches that weren't really monetizable before." AI-powered campaigns (Imax/Pmax) drive 15% more conversions at similar ROAS. </w:t>
      </w:r>
    </w:p>
    <w:p>
      <w:pPr>
        <w:pStyle w:val="ListBullet"/>
        <w:ind w:left="360" w:hanging="360"/>
      </w:pPr>
      <w:r>
        <w:rPr>
          <w:rFonts w:ascii="Calibri" w:hAnsi="Calibri"/>
          <w:b/>
          <w:color w:val="525866"/>
          <w:sz w:val="22"/>
        </w:rPr>
        <w:t xml:space="preserve">Read-through for EBAY: </w:t>
      </w:r>
      <w:r>
        <w:rPr>
          <w:rFonts w:ascii="Calibri" w:hAnsi="Calibri"/>
          <w:color w:val="525866"/>
          <w:sz w:val="22"/>
        </w:rPr>
        <w:t>Improved ad relevance on Google benefits eBay sellers who use Google Shopping ads to drive traffic to their listings. More relevant ads at similar ROAS means eBay's seller base gets better returns on external ad spend, which could support seller retention and listing activity.</w:t>
      </w:r>
    </w:p>
    <w:p>
      <w:pPr>
        <w:pStyle w:val="ListBullet"/>
        <w:ind w:left="360" w:hanging="360"/>
      </w:pPr>
      <w:r>
        <w:rPr>
          <w:rFonts w:ascii="Calibri" w:hAnsi="Calibri"/>
          <w:b/>
          <w:color w:val="525866"/>
          <w:sz w:val="22"/>
        </w:rPr>
        <w:t xml:space="preserve">Universal Commerce Protocol (UCP) and Universal Card: </w:t>
      </w:r>
      <w:r>
        <w:rPr>
          <w:rFonts w:ascii="Calibri" w:hAnsi="Calibri"/>
          <w:color w:val="525866"/>
          <w:sz w:val="22"/>
        </w:rPr>
        <w:t xml:space="preserve">Google established UCP as the new open-source standard for e-commerce, with Target and Steve Madden already live. Google also announced Universal Card, allowing shoppers to add items from different retailers across Google services and buy in a single checkout. </w:t>
      </w:r>
    </w:p>
    <w:p>
      <w:pPr>
        <w:pStyle w:val="ListBullet"/>
        <w:ind w:left="360" w:hanging="360"/>
      </w:pPr>
      <w:r>
        <w:rPr>
          <w:rFonts w:ascii="Calibri" w:hAnsi="Calibri"/>
          <w:b/>
          <w:color w:val="525866"/>
          <w:sz w:val="22"/>
        </w:rPr>
        <w:t xml:space="preserve">Read-through for EBAY: </w:t>
      </w:r>
      <w:r>
        <w:rPr>
          <w:rFonts w:ascii="Calibri" w:hAnsi="Calibri"/>
          <w:color w:val="525866"/>
          <w:sz w:val="22"/>
        </w:rPr>
        <w:t>This is a medium-term competitive dynamic to watch — if Google's Universal Card gains traction, it could reduce friction for buyers to purchase directly from brand retailers rather than through marketplaces like eBay. However, eBay's differentiated inventory (used, collectibles, rare items) is less substitutable than new retail goods.</w:t>
      </w:r>
    </w:p>
    <w:p>
      <w:pPr>
        <w:pStyle w:val="ListBullet"/>
        <w:ind w:left="360" w:hanging="360"/>
      </w:pPr>
      <w:r>
        <w:rPr>
          <w:rFonts w:ascii="Calibri" w:hAnsi="Calibri"/>
          <w:b/>
          <w:color w:val="525866"/>
          <w:sz w:val="22"/>
        </w:rPr>
        <w:t xml:space="preserve">YouTube shoppable ads and CTV commerce: </w:t>
      </w:r>
      <w:r>
        <w:rPr>
          <w:rFonts w:ascii="Calibri" w:hAnsi="Calibri"/>
          <w:color w:val="525866"/>
          <w:sz w:val="22"/>
        </w:rPr>
        <w:t xml:space="preserve">Google launched "buy with Google Pay" enabling CTV viewers to complete purchases directly on their TV. YouTube ads grew 13% YoY to $11.1B. Strong ad growth related to the FIFA World Cup. </w:t>
      </w:r>
    </w:p>
    <w:p>
      <w:pPr>
        <w:pStyle w:val="ListBullet"/>
        <w:ind w:left="360" w:hanging="360"/>
      </w:pPr>
      <w:r>
        <w:rPr>
          <w:rFonts w:ascii="Calibri" w:hAnsi="Calibri"/>
          <w:b/>
          <w:color w:val="525866"/>
          <w:sz w:val="22"/>
        </w:rPr>
        <w:t xml:space="preserve">Read-through for EBAY: </w:t>
      </w:r>
      <w:r>
        <w:rPr>
          <w:rFonts w:ascii="Calibri" w:hAnsi="Calibri"/>
          <w:color w:val="525866"/>
          <w:sz w:val="22"/>
        </w:rPr>
        <w:t>eBay Live's expansion to 7 countries and its growing GMV contribution (8x YoY run rate in Q1) is well-timed given the broader live commerce and shoppable video trend that Google/YouTube is also investing in. The macro tailwind for live commerce is real.</w:t>
      </w:r>
    </w:p>
    <w:p>
      <w:pPr>
        <w:pStyle w:val="Heading3"/>
      </w:pPr>
      <w:r>
        <w:rPr>
          <w:rFonts w:ascii="Calibri" w:hAnsi="Calibri"/>
          <w:b/>
          <w:color w:val="3B4259"/>
          <w:sz w:val="24"/>
        </w:rPr>
        <w:t>Meta Platforms (META) — Q2 2026 Earnings (Reported July 29, 2026)</w:t>
      </w:r>
    </w:p>
    <w:p>
      <w:r>
        <w:rPr>
          <w:rFonts w:ascii="Calibri" w:hAnsi="Calibri"/>
          <w:b/>
          <w:color w:val="525866"/>
          <w:sz w:val="22"/>
        </w:rPr>
        <w:t xml:space="preserve">Relevance: </w:t>
      </w:r>
      <w:r>
        <w:rPr>
          <w:rFonts w:ascii="Calibri" w:hAnsi="Calibri"/>
          <w:color w:val="525866"/>
          <w:sz w:val="22"/>
        </w:rPr>
        <w:t>Meta is a direct partner (Facebook Marketplace integration) and an indirect competitor (Facebook Marketplace, Instagram Shopping). Meta's advertising demand and commerce commentary are relevant read-throughs for eBay's advertising revenue and buyer acquisition.</w:t>
      </w:r>
    </w:p>
    <w:p>
      <w:pPr>
        <w:pStyle w:val="ListBullet"/>
        <w:ind w:left="360" w:hanging="360"/>
      </w:pPr>
      <w:r>
        <w:rPr>
          <w:rFonts w:ascii="Calibri" w:hAnsi="Calibri"/>
          <w:b/>
          <w:color w:val="525866"/>
          <w:sz w:val="22"/>
        </w:rPr>
        <w:t xml:space="preserve">Meta's ads business growing faster than any other reported ad business: </w:t>
      </w:r>
      <w:r>
        <w:rPr>
          <w:rFonts w:ascii="Calibri" w:hAnsi="Calibri"/>
          <w:color w:val="525866"/>
          <w:sz w:val="22"/>
        </w:rPr>
        <w:t xml:space="preserve">Q2 Family of Apps ad revenue was $59.4B (+27% YoY). Total ad impressions grew 14%, with global average price per ad up 12% YoY. AI-powered Advantage Plus solutions reached over $75B in annual revenue run rate. </w:t>
      </w:r>
    </w:p>
    <w:p>
      <w:pPr>
        <w:pStyle w:val="ListBullet"/>
        <w:ind w:left="360" w:hanging="360"/>
      </w:pPr>
      <w:r>
        <w:rPr>
          <w:rFonts w:ascii="Calibri" w:hAnsi="Calibri"/>
          <w:b/>
          <w:color w:val="525866"/>
          <w:sz w:val="22"/>
        </w:rPr>
        <w:t xml:space="preserve">Read-through for EBAY: </w:t>
      </w:r>
      <w:r>
        <w:rPr>
          <w:rFonts w:ascii="Calibri" w:hAnsi="Calibri"/>
          <w:color w:val="525866"/>
          <w:sz w:val="22"/>
        </w:rPr>
        <w:t>Strong Meta advertising demand confirms the broader digital advertising environment was healthy in Q2. eBay's Facebook Marketplace integration (now generally available in the US, Germany, and France) means eBay sellers benefit directly from Meta's scaled audience. Higher ad prices on Meta could increase eBay's buyer acquisition costs, but the organic traffic integration mitigates this.</w:t>
      </w:r>
    </w:p>
    <w:p>
      <w:pPr>
        <w:pStyle w:val="ListBullet"/>
        <w:ind w:left="360" w:hanging="360"/>
      </w:pPr>
      <w:r>
        <w:rPr>
          <w:rFonts w:ascii="Calibri" w:hAnsi="Calibri"/>
          <w:b/>
          <w:color w:val="525866"/>
          <w:sz w:val="22"/>
        </w:rPr>
        <w:t xml:space="preserve">Meta launched 'Seller' — a standalone marketplace app: </w:t>
      </w:r>
      <w:r>
        <w:rPr>
          <w:rFonts w:ascii="Calibri" w:hAnsi="Calibri"/>
          <w:color w:val="525866"/>
          <w:sz w:val="22"/>
        </w:rPr>
        <w:t xml:space="preserve">Mark Zuckerberg announced the launch of "Seller," a standalone marketplace app, alongside "Forum" (a standalone groups app). Meta Business Agents are now available globally on WhatsApp and Messenger, with over 1 million businesses using them weekly to interact with customers or complete sales. </w:t>
      </w:r>
    </w:p>
    <w:p>
      <w:pPr>
        <w:pStyle w:val="ListBullet"/>
        <w:ind w:left="360" w:hanging="360"/>
      </w:pPr>
      <w:r>
        <w:rPr>
          <w:rFonts w:ascii="Calibri" w:hAnsi="Calibri"/>
          <w:b/>
          <w:color w:val="525866"/>
          <w:sz w:val="22"/>
        </w:rPr>
        <w:t xml:space="preserve">Read-through for EBAY: </w:t>
      </w:r>
      <w:r>
        <w:rPr>
          <w:rFonts w:ascii="Calibri" w:hAnsi="Calibri"/>
          <w:color w:val="525866"/>
          <w:sz w:val="22"/>
        </w:rPr>
        <w:t>This is the most direct competitive read-through from Meta. A standalone "Seller" app from Meta, combined with AI-powered business agents, could compete with eBay's C2C marketplace — particularly in casual fashion and everyday goods. However, eBay's differentiated inventory (collectibles, P&amp;A, luxury) and trust infrastructure (Authenticity Guarantee, Guaranteed Fit) provide meaningful moats in higher-value categories.</w:t>
      </w:r>
    </w:p>
    <w:p>
      <w:pPr>
        <w:pStyle w:val="ListBullet"/>
        <w:ind w:left="360" w:hanging="360"/>
      </w:pPr>
      <w:r>
        <w:rPr>
          <w:rFonts w:ascii="Calibri" w:hAnsi="Calibri"/>
          <w:b/>
          <w:color w:val="525866"/>
          <w:sz w:val="22"/>
        </w:rPr>
        <w:t xml:space="preserve">Consumer engagement at record levels: </w:t>
      </w:r>
      <w:r>
        <w:rPr>
          <w:rFonts w:ascii="Calibri" w:hAnsi="Calibri"/>
          <w:color w:val="525866"/>
          <w:sz w:val="22"/>
        </w:rPr>
        <w:t xml:space="preserve">3.6 billion people use at least one Meta app daily. Instagram reached 2 billion daily actives. Global time spent on Instagram grew double digits YoY driven by feed and reels recommendations. Facebook video time spent increased 9% globally YoY. </w:t>
      </w:r>
    </w:p>
    <w:p>
      <w:pPr>
        <w:pStyle w:val="ListBullet"/>
        <w:ind w:left="360" w:hanging="360"/>
      </w:pPr>
      <w:r>
        <w:rPr>
          <w:rFonts w:ascii="Calibri" w:hAnsi="Calibri"/>
          <w:b/>
          <w:color w:val="525866"/>
          <w:sz w:val="22"/>
        </w:rPr>
        <w:t xml:space="preserve">Read-through for EBAY: </w:t>
      </w:r>
      <w:r>
        <w:rPr>
          <w:rFonts w:ascii="Calibri" w:hAnsi="Calibri"/>
          <w:color w:val="525866"/>
          <w:sz w:val="22"/>
        </w:rPr>
        <w:t>High consumer engagement on Meta platforms is a positive for eBay's Facebook Marketplace integration, as more active users on Facebook Marketplace means more potential buyers discovering eBay listings through the search integration.</w:t>
      </w:r>
    </w:p>
    <w:p>
      <w:pPr>
        <w:pStyle w:val="ListBullet"/>
        <w:ind w:left="360" w:hanging="360"/>
      </w:pPr>
      <w:r>
        <w:rPr>
          <w:rFonts w:ascii="Calibri" w:hAnsi="Calibri"/>
          <w:b/>
          <w:color w:val="525866"/>
          <w:sz w:val="22"/>
        </w:rPr>
        <w:t xml:space="preserve">AI-powered ad performance driving conversion gains: </w:t>
      </w:r>
      <w:r>
        <w:rPr>
          <w:rFonts w:ascii="Calibri" w:hAnsi="Calibri"/>
          <w:color w:val="525866"/>
          <w:sz w:val="22"/>
        </w:rPr>
        <w:t xml:space="preserve">LLM-powered improvements drove an 8.3% increase in ad clicks and 15.7% uplift in conversions on Facebook. Early pilots using LLMs to understand user preferences drove a 1% increase in app event conversions on Instagram. </w:t>
      </w:r>
    </w:p>
    <w:p>
      <w:pPr>
        <w:pStyle w:val="ListBullet"/>
        <w:ind w:left="360" w:hanging="360"/>
      </w:pPr>
      <w:r>
        <w:rPr>
          <w:rFonts w:ascii="Calibri" w:hAnsi="Calibri"/>
          <w:b/>
          <w:color w:val="525866"/>
          <w:sz w:val="22"/>
        </w:rPr>
        <w:t xml:space="preserve">Read-through for EBAY: </w:t>
      </w:r>
      <w:r>
        <w:rPr>
          <w:rFonts w:ascii="Calibri" w:hAnsi="Calibri"/>
          <w:color w:val="525866"/>
          <w:sz w:val="22"/>
        </w:rPr>
        <w:t>Better ad targeting on Meta benefits eBay sellers who advertise on Facebook/Instagram to drive traffic to their eBay listings. Higher conversion rates mean better ROI for eBay sellers on external ad spend, which supports seller retention.</w:t>
      </w:r>
    </w:p>
    <w:p>
      <w:pPr>
        <w:pStyle w:val="ListBullet"/>
        <w:ind w:left="360" w:hanging="360"/>
      </w:pPr>
      <w:r>
        <w:rPr>
          <w:rFonts w:ascii="Calibri" w:hAnsi="Calibri"/>
          <w:b/>
          <w:color w:val="525866"/>
          <w:sz w:val="22"/>
        </w:rPr>
        <w:t>Q3 2026 guidance: $61B–$64B revenue (+~18–25% YoY); ~1% FX headwind.</w:t>
      </w:r>
      <w:r>
        <w:rPr>
          <w:rFonts w:ascii="Calibri" w:hAnsi="Calibri"/>
          <w:color w:val="525866"/>
          <w:sz w:val="22"/>
        </w:rPr>
        <w:t xml:space="preserve"> Meta guided for continued strong growth in Q3, with FX becoming a modest headwind.</w:t>
      </w:r>
    </w:p>
    <w:p>
      <w:pPr>
        <w:pStyle w:val="ListBullet"/>
        <w:ind w:left="360" w:hanging="360"/>
      </w:pPr>
      <w:r>
        <w:rPr>
          <w:rFonts w:ascii="Calibri" w:hAnsi="Calibri"/>
          <w:b/>
          <w:color w:val="525866"/>
          <w:sz w:val="22"/>
        </w:rPr>
        <w:t xml:space="preserve">Read-through for EBAY: </w:t>
      </w:r>
      <w:r>
        <w:rPr>
          <w:rFonts w:ascii="Calibri" w:hAnsi="Calibri"/>
          <w:color w:val="525866"/>
          <w:sz w:val="22"/>
        </w:rPr>
        <w:t>Meta's strong Q3 guidance suggests the digital advertising environment remains healthy heading into Q3, which is a positive backdrop for eBay's advertising revenue trajectory in the second half of 2026.</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Key Data Point</w:t>
            </w:r>
          </w:p>
        </w:tc>
        <w:tc>
          <w:tcPr>
            <w:tcW w:type="dxa" w:w="2160"/>
            <w:shd w:val="clear" w:color="auto" w:fill="3B4259"/>
          </w:tcPr>
          <w:p>
            <w:r>
              <w:rPr>
                <w:rFonts w:ascii="Calibri" w:hAnsi="Calibri"/>
                <w:b/>
                <w:color w:val="FFFFFF"/>
                <w:sz w:val="22"/>
              </w:rPr>
              <w:t>EBAY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AMZN</w:t>
            </w:r>
          </w:p>
        </w:tc>
        <w:tc>
          <w:tcPr>
            <w:tcW w:type="dxa" w:w="2160"/>
          </w:tcPr>
          <w:p>
            <w:r>
              <w:rPr>
                <w:rFonts w:ascii="Calibri" w:hAnsi="Calibri"/>
                <w:sz w:val="22"/>
              </w:rPr>
              <w:t>US e-commerce paid units +17% YoY; tariff refunds $600M; ads +26%</w:t>
            </w:r>
          </w:p>
        </w:tc>
        <w:tc>
          <w:tcPr>
            <w:tcW w:type="dxa" w:w="2160"/>
          </w:tcPr>
          <w:p>
            <w:r>
              <w:rPr>
                <w:rFonts w:ascii="Calibri" w:hAnsi="Calibri"/>
                <w:sz w:val="22"/>
              </w:rPr>
              <w:t>Healthy US consumer demand; tariff impact manageable; ad demand robust</w:t>
            </w:r>
          </w:p>
        </w:tc>
        <w:tc>
          <w:tcPr>
            <w:tcW w:type="dxa" w:w="2160"/>
          </w:tcPr>
          <w:p>
            <w:r>
              <w:rPr>
                <w:rFonts w:ascii="Calibri" w:hAnsi="Calibri"/>
                <w:b/>
                <w:color w:val="30A46C"/>
                <w:sz w:val="22"/>
              </w:rPr>
              <w:t>Positive</w:t>
            </w:r>
          </w:p>
        </w:tc>
      </w:tr>
      <w:tr>
        <w:tc>
          <w:tcPr>
            <w:tcW w:type="dxa" w:w="2160"/>
          </w:tcPr>
          <w:p>
            <w:r>
              <w:rPr>
                <w:rFonts w:ascii="Calibri" w:hAnsi="Calibri"/>
                <w:sz w:val="22"/>
              </w:rPr>
              <w:t>GOOGL</w:t>
            </w:r>
          </w:p>
        </w:tc>
        <w:tc>
          <w:tcPr>
            <w:tcW w:type="dxa" w:w="2160"/>
          </w:tcPr>
          <w:p>
            <w:r>
              <w:rPr>
                <w:rFonts w:ascii="Calibri" w:hAnsi="Calibri"/>
                <w:sz w:val="22"/>
              </w:rPr>
              <w:t>Retail drove greatest contribution to Search +17% YoY; shopping ads relevance +20%</w:t>
            </w:r>
          </w:p>
        </w:tc>
        <w:tc>
          <w:tcPr>
            <w:tcW w:type="dxa" w:w="2160"/>
          </w:tcPr>
          <w:p>
            <w:r>
              <w:rPr>
                <w:rFonts w:ascii="Calibri" w:hAnsi="Calibri"/>
                <w:sz w:val="22"/>
              </w:rPr>
              <w:t>Strong retail ad demand; better ad ROI for eBay sellers; live commerce tailwind</w:t>
            </w:r>
          </w:p>
        </w:tc>
        <w:tc>
          <w:tcPr>
            <w:tcW w:type="dxa" w:w="2160"/>
          </w:tcPr>
          <w:p>
            <w:r>
              <w:rPr>
                <w:rFonts w:ascii="Calibri" w:hAnsi="Calibri"/>
                <w:b/>
                <w:color w:val="30A46C"/>
                <w:sz w:val="22"/>
              </w:rPr>
              <w:t>Positive</w:t>
            </w:r>
          </w:p>
        </w:tc>
      </w:tr>
      <w:tr>
        <w:tc>
          <w:tcPr>
            <w:tcW w:type="dxa" w:w="2160"/>
          </w:tcPr>
          <w:p>
            <w:r>
              <w:rPr>
                <w:rFonts w:ascii="Calibri" w:hAnsi="Calibri"/>
                <w:sz w:val="22"/>
              </w:rPr>
              <w:t>META</w:t>
            </w:r>
          </w:p>
        </w:tc>
        <w:tc>
          <w:tcPr>
            <w:tcW w:type="dxa" w:w="2160"/>
          </w:tcPr>
          <w:p>
            <w:r>
              <w:rPr>
                <w:rFonts w:ascii="Calibri" w:hAnsi="Calibri"/>
                <w:sz w:val="22"/>
              </w:rPr>
              <w:t>Ad revenue +27% YoY; launched standalone 'Seller' marketplace app; 3.6B DAUs</w:t>
            </w:r>
          </w:p>
        </w:tc>
        <w:tc>
          <w:tcPr>
            <w:tcW w:type="dxa" w:w="2160"/>
          </w:tcPr>
          <w:p>
            <w:r>
              <w:rPr>
                <w:rFonts w:ascii="Calibri" w:hAnsi="Calibri"/>
                <w:sz w:val="22"/>
              </w:rPr>
              <w:t>Strong ad environment; Facebook Marketplace integration benefits; 'Seller' app is new competitive risk</w:t>
            </w:r>
          </w:p>
        </w:tc>
        <w:tc>
          <w:tcPr>
            <w:tcW w:type="dxa" w:w="2160"/>
          </w:tcPr>
          <w:p>
            <w:r>
              <w:rPr>
                <w:rFonts w:ascii="Calibri" w:hAnsi="Calibri"/>
                <w:b/>
                <w:color w:val="002FA7"/>
                <w:sz w:val="22"/>
              </w:rPr>
              <w:t>Mixed</w:t>
            </w:r>
          </w:p>
        </w:tc>
      </w:tr>
    </w:tbl>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No open-market discretionary buys from insiders since Q1 earnings — all CEO sales are 10b5-1 plan-driven and routine. The volume of CEO sales (Iannone selling ~75,000 shares across multiple tranches since May) is notable in size but not in character, as all are pre-planned. No unusual clustering of discretionary sales or buys that would signal a directional view ahead of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IANNONE JAMIE</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11,110</w:t>
            </w:r>
          </w:p>
        </w:tc>
        <w:tc>
          <w:tcPr>
            <w:tcW w:type="dxa" w:w="1440"/>
          </w:tcPr>
          <w:p>
            <w:r>
              <w:rPr>
                <w:rFonts w:ascii="Calibri" w:hAnsi="Calibri"/>
                <w:sz w:val="22"/>
              </w:rPr>
              <w:t>Jul 6, 2026</w:t>
            </w:r>
          </w:p>
        </w:tc>
        <w:tc>
          <w:tcPr>
            <w:tcW w:type="dxa" w:w="1440"/>
          </w:tcPr>
          <w:p>
            <w:r>
              <w:rPr>
                <w:rFonts w:ascii="Calibri" w:hAnsi="Calibri"/>
                <w:sz w:val="22"/>
              </w:rPr>
              <w:t>Pre-planned; part of ongoing 10b5-1 program</w:t>
            </w:r>
          </w:p>
        </w:tc>
      </w:tr>
      <w:tr>
        <w:tc>
          <w:tcPr>
            <w:tcW w:type="dxa" w:w="1440"/>
          </w:tcPr>
          <w:p>
            <w:r>
              <w:rPr>
                <w:rFonts w:ascii="Calibri" w:hAnsi="Calibri"/>
                <w:sz w:val="22"/>
              </w:rPr>
              <w:t>IANNONE JAMIE</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11,110</w:t>
            </w:r>
          </w:p>
        </w:tc>
        <w:tc>
          <w:tcPr>
            <w:tcW w:type="dxa" w:w="1440"/>
          </w:tcPr>
          <w:p>
            <w:r>
              <w:rPr>
                <w:rFonts w:ascii="Calibri" w:hAnsi="Calibri"/>
                <w:sz w:val="22"/>
              </w:rPr>
              <w:t>Jul 7, 2026</w:t>
            </w:r>
          </w:p>
        </w:tc>
        <w:tc>
          <w:tcPr>
            <w:tcW w:type="dxa" w:w="1440"/>
          </w:tcPr>
          <w:p>
            <w:r>
              <w:rPr>
                <w:rFonts w:ascii="Calibri" w:hAnsi="Calibri"/>
                <w:sz w:val="22"/>
              </w:rPr>
              <w:t>Pre-planned; part of ongoing 10b5-1 program</w:t>
            </w:r>
          </w:p>
        </w:tc>
      </w:tr>
      <w:tr>
        <w:tc>
          <w:tcPr>
            <w:tcW w:type="dxa" w:w="1440"/>
          </w:tcPr>
          <w:p>
            <w:r>
              <w:rPr>
                <w:rFonts w:ascii="Calibri" w:hAnsi="Calibri"/>
                <w:sz w:val="22"/>
              </w:rPr>
              <w:t>IANNONE JAMIE</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11,110</w:t>
            </w:r>
          </w:p>
        </w:tc>
        <w:tc>
          <w:tcPr>
            <w:tcW w:type="dxa" w:w="1440"/>
          </w:tcPr>
          <w:p>
            <w:r>
              <w:rPr>
                <w:rFonts w:ascii="Calibri" w:hAnsi="Calibri"/>
                <w:sz w:val="22"/>
              </w:rPr>
              <w:t>Jun 4, 2026</w:t>
            </w:r>
          </w:p>
        </w:tc>
        <w:tc>
          <w:tcPr>
            <w:tcW w:type="dxa" w:w="1440"/>
          </w:tcPr>
          <w:p>
            <w:r>
              <w:rPr>
                <w:rFonts w:ascii="Calibri" w:hAnsi="Calibri"/>
                <w:sz w:val="22"/>
              </w:rPr>
              <w:t>Pre-planned; part of ongoing 10b5-1 program</w:t>
            </w:r>
          </w:p>
        </w:tc>
      </w:tr>
      <w:tr>
        <w:tc>
          <w:tcPr>
            <w:tcW w:type="dxa" w:w="1440"/>
          </w:tcPr>
          <w:p>
            <w:r>
              <w:rPr>
                <w:rFonts w:ascii="Calibri" w:hAnsi="Calibri"/>
                <w:sz w:val="22"/>
              </w:rPr>
              <w:t>IANNONE JAMIE</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11,110</w:t>
            </w:r>
          </w:p>
        </w:tc>
        <w:tc>
          <w:tcPr>
            <w:tcW w:type="dxa" w:w="1440"/>
          </w:tcPr>
          <w:p>
            <w:r>
              <w:rPr>
                <w:rFonts w:ascii="Calibri" w:hAnsi="Calibri"/>
                <w:sz w:val="22"/>
              </w:rPr>
              <w:t>Jun 5, 2026</w:t>
            </w:r>
          </w:p>
        </w:tc>
        <w:tc>
          <w:tcPr>
            <w:tcW w:type="dxa" w:w="1440"/>
          </w:tcPr>
          <w:p>
            <w:r>
              <w:rPr>
                <w:rFonts w:ascii="Calibri" w:hAnsi="Calibri"/>
                <w:sz w:val="22"/>
              </w:rPr>
              <w:t>Pre-planned; part of ongoing 10b5-1 program</w:t>
            </w:r>
          </w:p>
        </w:tc>
      </w:tr>
      <w:tr>
        <w:tc>
          <w:tcPr>
            <w:tcW w:type="dxa" w:w="1440"/>
          </w:tcPr>
          <w:p>
            <w:r>
              <w:rPr>
                <w:rFonts w:ascii="Calibri" w:hAnsi="Calibri"/>
                <w:sz w:val="22"/>
              </w:rPr>
              <w:t>IANNONE JAMIE</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19,641</w:t>
            </w:r>
          </w:p>
        </w:tc>
        <w:tc>
          <w:tcPr>
            <w:tcW w:type="dxa" w:w="1440"/>
          </w:tcPr>
          <w:p>
            <w:r>
              <w:rPr>
                <w:rFonts w:ascii="Calibri" w:hAnsi="Calibri"/>
                <w:sz w:val="22"/>
              </w:rPr>
              <w:t>May 4, 2026</w:t>
            </w:r>
          </w:p>
        </w:tc>
        <w:tc>
          <w:tcPr>
            <w:tcW w:type="dxa" w:w="1440"/>
          </w:tcPr>
          <w:p>
            <w:r>
              <w:rPr>
                <w:rFonts w:ascii="Calibri" w:hAnsi="Calibri"/>
                <w:sz w:val="22"/>
              </w:rPr>
              <w:t>Pre-planned; part of ongoing 10b5-1 program</w:t>
            </w:r>
          </w:p>
        </w:tc>
      </w:tr>
      <w:tr>
        <w:tc>
          <w:tcPr>
            <w:tcW w:type="dxa" w:w="1440"/>
          </w:tcPr>
          <w:p>
            <w:r>
              <w:rPr>
                <w:rFonts w:ascii="Calibri" w:hAnsi="Calibri"/>
                <w:sz w:val="22"/>
              </w:rPr>
              <w:t>IANNONE JAMIE</w:t>
            </w:r>
          </w:p>
        </w:tc>
        <w:tc>
          <w:tcPr>
            <w:tcW w:type="dxa" w:w="1440"/>
          </w:tcPr>
          <w:p>
            <w:r>
              <w:rPr>
                <w:rFonts w:ascii="Calibri" w:hAnsi="Calibri"/>
                <w:sz w:val="22"/>
              </w:rPr>
              <w:t>President &amp; CEO</w:t>
            </w:r>
          </w:p>
        </w:tc>
        <w:tc>
          <w:tcPr>
            <w:tcW w:type="dxa" w:w="1440"/>
          </w:tcPr>
          <w:p>
            <w:r>
              <w:rPr>
                <w:rFonts w:ascii="Calibri" w:hAnsi="Calibri"/>
                <w:sz w:val="22"/>
              </w:rPr>
              <w:t>10b5-1 Planned Sale</w:t>
            </w:r>
          </w:p>
        </w:tc>
        <w:tc>
          <w:tcPr>
            <w:tcW w:type="dxa" w:w="1440"/>
          </w:tcPr>
          <w:p>
            <w:r>
              <w:rPr>
                <w:rFonts w:ascii="Calibri" w:hAnsi="Calibri"/>
                <w:sz w:val="22"/>
              </w:rPr>
              <w:t>21,000</w:t>
            </w:r>
          </w:p>
        </w:tc>
        <w:tc>
          <w:tcPr>
            <w:tcW w:type="dxa" w:w="1440"/>
          </w:tcPr>
          <w:p>
            <w:r>
              <w:rPr>
                <w:rFonts w:ascii="Calibri" w:hAnsi="Calibri"/>
                <w:sz w:val="22"/>
              </w:rPr>
              <w:t>May 1, 2026</w:t>
            </w:r>
          </w:p>
        </w:tc>
        <w:tc>
          <w:tcPr>
            <w:tcW w:type="dxa" w:w="1440"/>
          </w:tcPr>
          <w:p>
            <w:r>
              <w:rPr>
                <w:rFonts w:ascii="Calibri" w:hAnsi="Calibri"/>
                <w:sz w:val="22"/>
              </w:rPr>
              <w:t>Pre-planned; part of ongoing 10b5-1 program</w:t>
            </w:r>
          </w:p>
        </w:tc>
      </w:tr>
      <w:tr>
        <w:tc>
          <w:tcPr>
            <w:tcW w:type="dxa" w:w="1440"/>
          </w:tcPr>
          <w:p>
            <w:r>
              <w:rPr>
                <w:rFonts w:ascii="Calibri" w:hAnsi="Calibri"/>
                <w:sz w:val="22"/>
              </w:rPr>
              <w:t>Rawashdeh Mazen</w:t>
            </w:r>
          </w:p>
        </w:tc>
        <w:tc>
          <w:tcPr>
            <w:tcW w:type="dxa" w:w="1440"/>
          </w:tcPr>
          <w:p>
            <w:r>
              <w:rPr>
                <w:rFonts w:ascii="Calibri" w:hAnsi="Calibri"/>
                <w:sz w:val="22"/>
              </w:rPr>
              <w:t>SVP, Chief Technology Officer</w:t>
            </w:r>
          </w:p>
        </w:tc>
        <w:tc>
          <w:tcPr>
            <w:tcW w:type="dxa" w:w="1440"/>
          </w:tcPr>
          <w:p>
            <w:r>
              <w:rPr>
                <w:rFonts w:ascii="Calibri" w:hAnsi="Calibri"/>
                <w:sz w:val="22"/>
              </w:rPr>
              <w:t>10b5-1 Planned Sale</w:t>
            </w:r>
          </w:p>
        </w:tc>
        <w:tc>
          <w:tcPr>
            <w:tcW w:type="dxa" w:w="1440"/>
          </w:tcPr>
          <w:p>
            <w:r>
              <w:rPr>
                <w:rFonts w:ascii="Calibri" w:hAnsi="Calibri"/>
                <w:sz w:val="22"/>
              </w:rPr>
              <w:t>1,919</w:t>
            </w:r>
          </w:p>
        </w:tc>
        <w:tc>
          <w:tcPr>
            <w:tcW w:type="dxa" w:w="1440"/>
          </w:tcPr>
          <w:p>
            <w:r>
              <w:rPr>
                <w:rFonts w:ascii="Calibri" w:hAnsi="Calibri"/>
                <w:sz w:val="22"/>
              </w:rPr>
              <w:t>Jun 17, 2026</w:t>
            </w:r>
          </w:p>
        </w:tc>
        <w:tc>
          <w:tcPr>
            <w:tcW w:type="dxa" w:w="1440"/>
          </w:tcPr>
          <w:p>
            <w:r>
              <w:rPr>
                <w:rFonts w:ascii="Calibri" w:hAnsi="Calibri"/>
                <w:sz w:val="22"/>
              </w:rPr>
              <w:t>Pre-planned; 10b5-1 plan</w:t>
            </w:r>
          </w:p>
        </w:tc>
      </w:tr>
      <w:tr>
        <w:tc>
          <w:tcPr>
            <w:tcW w:type="dxa" w:w="1440"/>
          </w:tcPr>
          <w:p>
            <w:r>
              <w:rPr>
                <w:rFonts w:ascii="Calibri" w:hAnsi="Calibri"/>
                <w:sz w:val="22"/>
              </w:rPr>
              <w:t>Sweetnam Jordan D.B.</w:t>
            </w:r>
          </w:p>
        </w:tc>
        <w:tc>
          <w:tcPr>
            <w:tcW w:type="dxa" w:w="1440"/>
          </w:tcPr>
          <w:p>
            <w:r>
              <w:rPr>
                <w:rFonts w:ascii="Calibri" w:hAnsi="Calibri"/>
                <w:sz w:val="22"/>
              </w:rPr>
              <w:t>SVP, Chief Commercial Officer</w:t>
            </w:r>
          </w:p>
        </w:tc>
        <w:tc>
          <w:tcPr>
            <w:tcW w:type="dxa" w:w="1440"/>
          </w:tcPr>
          <w:p>
            <w:r>
              <w:rPr>
                <w:rFonts w:ascii="Calibri" w:hAnsi="Calibri"/>
                <w:sz w:val="22"/>
              </w:rPr>
              <w:t>10b5-1 Planned Sale</w:t>
            </w:r>
          </w:p>
        </w:tc>
        <w:tc>
          <w:tcPr>
            <w:tcW w:type="dxa" w:w="1440"/>
          </w:tcPr>
          <w:p>
            <w:r>
              <w:rPr>
                <w:rFonts w:ascii="Calibri" w:hAnsi="Calibri"/>
                <w:sz w:val="22"/>
              </w:rPr>
              <w:t>33,441</w:t>
            </w:r>
          </w:p>
        </w:tc>
        <w:tc>
          <w:tcPr>
            <w:tcW w:type="dxa" w:w="1440"/>
          </w:tcPr>
          <w:p>
            <w:r>
              <w:rPr>
                <w:rFonts w:ascii="Calibri" w:hAnsi="Calibri"/>
                <w:sz w:val="22"/>
              </w:rPr>
              <w:t>May 1, 2026</w:t>
            </w:r>
          </w:p>
        </w:tc>
        <w:tc>
          <w:tcPr>
            <w:tcW w:type="dxa" w:w="1440"/>
          </w:tcPr>
          <w:p>
            <w:r>
              <w:rPr>
                <w:rFonts w:ascii="Calibri" w:hAnsi="Calibri"/>
                <w:sz w:val="22"/>
              </w:rPr>
              <w:t>Pre-planned; 10b5-1 plan; option exercise + sale</w:t>
            </w:r>
          </w:p>
        </w:tc>
      </w:tr>
      <w:tr>
        <w:tc>
          <w:tcPr>
            <w:tcW w:type="dxa" w:w="1440"/>
          </w:tcPr>
          <w:p>
            <w:r>
              <w:rPr>
                <w:rFonts w:ascii="Calibri" w:hAnsi="Calibri"/>
                <w:sz w:val="22"/>
              </w:rPr>
              <w:t>Sweetnam Jordan D.B.</w:t>
            </w:r>
          </w:p>
        </w:tc>
        <w:tc>
          <w:tcPr>
            <w:tcW w:type="dxa" w:w="1440"/>
          </w:tcPr>
          <w:p>
            <w:r>
              <w:rPr>
                <w:rFonts w:ascii="Calibri" w:hAnsi="Calibri"/>
                <w:sz w:val="22"/>
              </w:rPr>
              <w:t>SVP, Chief Commercial Officer</w:t>
            </w:r>
          </w:p>
        </w:tc>
        <w:tc>
          <w:tcPr>
            <w:tcW w:type="dxa" w:w="1440"/>
          </w:tcPr>
          <w:p>
            <w:r>
              <w:rPr>
                <w:rFonts w:ascii="Calibri" w:hAnsi="Calibri"/>
                <w:sz w:val="22"/>
              </w:rPr>
              <w:t>10b5-1 Planned Sale</w:t>
            </w:r>
          </w:p>
        </w:tc>
        <w:tc>
          <w:tcPr>
            <w:tcW w:type="dxa" w:w="1440"/>
          </w:tcPr>
          <w:p>
            <w:r>
              <w:rPr>
                <w:rFonts w:ascii="Calibri" w:hAnsi="Calibri"/>
                <w:sz w:val="22"/>
              </w:rPr>
              <w:t>863</w:t>
            </w:r>
          </w:p>
        </w:tc>
        <w:tc>
          <w:tcPr>
            <w:tcW w:type="dxa" w:w="1440"/>
          </w:tcPr>
          <w:p>
            <w:r>
              <w:rPr>
                <w:rFonts w:ascii="Calibri" w:hAnsi="Calibri"/>
                <w:sz w:val="22"/>
              </w:rPr>
              <w:t>Jun 18, 2026</w:t>
            </w:r>
          </w:p>
        </w:tc>
        <w:tc>
          <w:tcPr>
            <w:tcW w:type="dxa" w:w="1440"/>
          </w:tcPr>
          <w:p>
            <w:r>
              <w:rPr>
                <w:rFonts w:ascii="Calibri" w:hAnsi="Calibri"/>
                <w:sz w:val="22"/>
              </w:rPr>
              <w:t>Pre-planned; 10b5-1 plan</w:t>
            </w:r>
          </w:p>
        </w:tc>
      </w:tr>
      <w:tr>
        <w:tc>
          <w:tcPr>
            <w:tcW w:type="dxa" w:w="1440"/>
          </w:tcPr>
          <w:p>
            <w:r>
              <w:rPr>
                <w:rFonts w:ascii="Calibri" w:hAnsi="Calibri"/>
                <w:sz w:val="22"/>
              </w:rPr>
              <w:t>Alford Peggy</w:t>
            </w:r>
          </w:p>
        </w:tc>
        <w:tc>
          <w:tcPr>
            <w:tcW w:type="dxa" w:w="1440"/>
          </w:tcPr>
          <w:p>
            <w:r>
              <w:rPr>
                <w:rFonts w:ascii="Calibri" w:hAnsi="Calibri"/>
                <w:sz w:val="22"/>
              </w:rPr>
              <w:t>SVP, Chief Financial Officer</w:t>
            </w:r>
          </w:p>
        </w:tc>
        <w:tc>
          <w:tcPr>
            <w:tcW w:type="dxa" w:w="1440"/>
          </w:tcPr>
          <w:p>
            <w:r>
              <w:rPr>
                <w:rFonts w:ascii="Calibri" w:hAnsi="Calibri"/>
                <w:sz w:val="22"/>
              </w:rPr>
              <w:t>RSU Vesting / Tax Withholding</w:t>
            </w:r>
          </w:p>
        </w:tc>
        <w:tc>
          <w:tcPr>
            <w:tcW w:type="dxa" w:w="1440"/>
          </w:tcPr>
          <w:p>
            <w:r>
              <w:rPr>
                <w:rFonts w:ascii="Calibri" w:hAnsi="Calibri"/>
                <w:sz w:val="22"/>
              </w:rPr>
              <w:t>23,425 (withheld)</w:t>
            </w:r>
          </w:p>
        </w:tc>
        <w:tc>
          <w:tcPr>
            <w:tcW w:type="dxa" w:w="1440"/>
          </w:tcPr>
          <w:p>
            <w:r>
              <w:rPr>
                <w:rFonts w:ascii="Calibri" w:hAnsi="Calibri"/>
                <w:sz w:val="22"/>
              </w:rPr>
              <w:t>Jun 15, 2026</w:t>
            </w:r>
          </w:p>
        </w:tc>
        <w:tc>
          <w:tcPr>
            <w:tcW w:type="dxa" w:w="1440"/>
          </w:tcPr>
          <w:p>
            <w:r>
              <w:rPr>
                <w:rFonts w:ascii="Calibri" w:hAnsi="Calibri"/>
                <w:sz w:val="22"/>
              </w:rPr>
              <w:t>Tax withholding on RSU vest; not a discretionary sale</w:t>
            </w:r>
          </w:p>
        </w:tc>
      </w:tr>
      <w:tr>
        <w:tc>
          <w:tcPr>
            <w:tcW w:type="dxa" w:w="1440"/>
          </w:tcPr>
          <w:p>
            <w:r>
              <w:rPr>
                <w:rFonts w:ascii="Calibri" w:hAnsi="Calibri"/>
                <w:sz w:val="22"/>
              </w:rPr>
              <w:t>Multiple Directors</w:t>
            </w:r>
          </w:p>
        </w:tc>
        <w:tc>
          <w:tcPr>
            <w:tcW w:type="dxa" w:w="1440"/>
          </w:tcPr>
          <w:p>
            <w:r>
              <w:rPr>
                <w:rFonts w:ascii="Calibri" w:hAnsi="Calibri"/>
                <w:sz w:val="22"/>
              </w:rPr>
              <w:t>Board of Directors</w:t>
            </w:r>
          </w:p>
        </w:tc>
        <w:tc>
          <w:tcPr>
            <w:tcW w:type="dxa" w:w="1440"/>
          </w:tcPr>
          <w:p>
            <w:r>
              <w:rPr>
                <w:rFonts w:ascii="Calibri" w:hAnsi="Calibri"/>
                <w:sz w:val="22"/>
              </w:rPr>
              <w:t>RSU Award (Grant)</w:t>
            </w:r>
          </w:p>
        </w:tc>
        <w:tc>
          <w:tcPr>
            <w:tcW w:type="dxa" w:w="1440"/>
          </w:tcPr>
          <w:p>
            <w:r>
              <w:rPr>
                <w:rFonts w:ascii="Calibri" w:hAnsi="Calibri"/>
                <w:sz w:val="22"/>
              </w:rPr>
              <w:t>~2,318–4,697 each</w:t>
            </w:r>
          </w:p>
        </w:tc>
        <w:tc>
          <w:tcPr>
            <w:tcW w:type="dxa" w:w="1440"/>
          </w:tcPr>
          <w:p>
            <w:r>
              <w:rPr>
                <w:rFonts w:ascii="Calibri" w:hAnsi="Calibri"/>
                <w:sz w:val="22"/>
              </w:rPr>
              <w:t>Jun 17, 2026</w:t>
            </w:r>
          </w:p>
        </w:tc>
        <w:tc>
          <w:tcPr>
            <w:tcW w:type="dxa" w:w="1440"/>
          </w:tcPr>
          <w:p>
            <w:r>
              <w:rPr>
                <w:rFonts w:ascii="Calibri" w:hAnsi="Calibri"/>
                <w:sz w:val="22"/>
              </w:rPr>
              <w:t>Annual director RSU grants; routine compensation</w:t>
            </w:r>
          </w:p>
        </w:tc>
      </w:tr>
    </w:tbl>
    <w:p>
      <w:r>
        <w:rPr>
          <w:rFonts w:ascii="Calibri" w:hAnsi="Calibri"/>
          <w:b/>
          <w:color w:val="525866"/>
          <w:sz w:val="22"/>
        </w:rPr>
        <w:t xml:space="preserve">Assessment: </w:t>
      </w:r>
      <w:r>
        <w:rPr>
          <w:rFonts w:ascii="Calibri" w:hAnsi="Calibri"/>
          <w:color w:val="525866"/>
          <w:sz w:val="22"/>
        </w:rPr>
        <w:t>All open-market sales by executives (Iannone, Rawashdeh, Sweetnam) are flagged as 10b5-1 pre-planned transactions — these are obligation-driven and carry no informational signal about management's view of the upcoming print. The CFO's share reduction was tax withholding on RSU vesting, also non-discretionary. Director RSU grants in June are routine annual compensation. There are no open-market discretionary buys or unusual discretionary sales that would signal a directional view ahead of Q2 earnings.</w:t>
      </w:r>
    </w:p>
    <w:p>
      <w:r>
        <w:rPr>
          <w:rFonts w:ascii="Calibri" w:hAnsi="Calibri"/>
          <w:i/>
          <w:color w:val="525866"/>
          <w:sz w:val="22"/>
        </w:rPr>
        <w:t>Source: SEC Form 4 filings via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