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eBay Inc. (EBAY)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eBay Inc.</w:t>
            </w:r>
          </w:p>
        </w:tc>
      </w:tr>
      <w:tr>
        <w:tc>
          <w:tcPr>
            <w:tcW w:type="dxa" w:w="4320"/>
          </w:tcPr>
          <w:p>
            <w:r>
              <w:rPr>
                <w:rFonts w:ascii="Calibri" w:hAnsi="Calibri"/>
                <w:b/>
                <w:sz w:val="22"/>
              </w:rPr>
              <w:t>Ticker</w:t>
            </w:r>
          </w:p>
        </w:tc>
        <w:tc>
          <w:tcPr>
            <w:tcW w:type="dxa" w:w="4320"/>
          </w:tcPr>
          <w:p>
            <w:r>
              <w:rPr>
                <w:rFonts w:ascii="Calibri" w:hAnsi="Calibri"/>
                <w:sz w:val="22"/>
              </w:rPr>
              <w:t>NASDAQ: EBAY</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near the low end of guidance, the bar is achievable, and the biggest swing factor is whether GMV deceleration from Q1’s exceptional 14% FX-neutral growth is as benign as management guided or worse given European macro headwinds.</w:t>
      </w:r>
    </w:p>
    <w:p>
      <w:r>
        <w:rPr>
          <w:rFonts w:ascii="Calibri" w:hAnsi="Calibri"/>
          <w:color w:val="525866"/>
          <w:sz w:val="22"/>
        </w:rPr>
        <w:t xml:space="preserve">Heading into Q2 2026 results, the bar for eBay looks manageable: consensus GMV of ~$21.6B sits at the midpoint of the $21.3B–$21.7B guidance range, and revenue consensus of ~$3.02B is essentially in line with the $2.97B–$3.03B guide. Management was explicit that the implied deceleration from Q1’s 14% FX-neutral GMV growth to 8%–10% in Q2 is mechanical — driven by bullion normalization, lapping of Klarna partnership benefits, and lower-funnel marketing efficiency comps — rather than a deterioration in underlying demand. </w:t>
      </w:r>
      <w:r>
        <w:rPr>
          <w:rFonts w:ascii="Calibri" w:hAnsi="Calibri"/>
          <w:b/>
          <w:color w:val="525866"/>
          <w:sz w:val="22"/>
        </w:rPr>
        <w:t>Estimate revisions have been essentially flat since the Q1 print</w:t>
      </w:r>
      <w:r>
        <w:rPr>
          <w:rFonts w:ascii="Calibri" w:hAnsi="Calibri"/>
          <w:color w:val="525866"/>
          <w:sz w:val="22"/>
        </w:rPr>
        <w:t xml:space="preserve">, with non-GAAP EPS consensus at ~$1.51 (top of guidance) and GMV consensus barely moved from the post-earnings baseline, suggesting the Street has taken management’s guidance at face value without building in meaningful upside. The stock has rallied ~10% since the Q1 print (from ~$103.79 to ~$114 area) and now trades at ~16x NTM P/E, a modest premium to its recent range, meaning a clean in-line print may already be priced in. </w:t>
      </w:r>
      <w:r>
        <w:rPr>
          <w:rFonts w:ascii="Calibri" w:hAnsi="Calibri"/>
          <w:b/>
          <w:color w:val="525866"/>
          <w:sz w:val="22"/>
        </w:rPr>
        <w:t>The key wildcard is Depop</w:t>
      </w:r>
      <w:r>
        <w:rPr>
          <w:rFonts w:ascii="Calibri" w:hAnsi="Calibri"/>
          <w:color w:val="525866"/>
          <w:sz w:val="22"/>
        </w:rPr>
        <w:t>: the acquisition closed July 30, 2026 at ~$1.4B (vs. the original $1.2B price plus $200M in adjustments and interest), and management’s first commentary on integration trajectory, early GMV contribution, and the low-single-digit EPS dilution impact will be closely watched. A beat on advertising revenue — which has consistently outpaced GMV — or upside to full-year GMV guidance (currently 7%–7.5% FX-neutral ex-Depop) would be the most likely positive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at the midpoint-to-top of guidance across all key metrics — the bar is not low, but it is achievable. </w:t>
      </w:r>
      <w:r>
        <w:rPr>
          <w:rFonts w:ascii="Calibri" w:hAnsi="Calibri"/>
          <w:color w:val="525866"/>
          <w:sz w:val="22"/>
        </w:rPr>
        <w:t>GMV growth deceleration is the biggest swing factor; advertising revenue is the upside lever if eBay’s monetization engine continues to outpace volume.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GMV ($B)</w:t>
            </w:r>
          </w:p>
        </w:tc>
        <w:tc>
          <w:tcPr>
            <w:tcW w:type="dxa" w:w="1234"/>
          </w:tcPr>
          <w:p>
            <w:r>
              <w:rPr>
                <w:rFonts w:ascii="Calibri" w:hAnsi="Calibri"/>
                <w:sz w:val="22"/>
              </w:rPr>
              <w:t>$22.20B</w:t>
            </w:r>
          </w:p>
        </w:tc>
        <w:tc>
          <w:tcPr>
            <w:tcW w:type="dxa" w:w="1234"/>
          </w:tcPr>
          <w:p>
            <w:r>
              <w:rPr>
                <w:rFonts w:ascii="Calibri" w:hAnsi="Calibri"/>
                <w:sz w:val="22"/>
              </w:rPr>
              <w:t>$19.51B</w:t>
            </w:r>
          </w:p>
        </w:tc>
        <w:tc>
          <w:tcPr>
            <w:tcW w:type="dxa" w:w="1234"/>
          </w:tcPr>
          <w:p>
            <w:r>
              <w:rPr>
                <w:rFonts w:ascii="Calibri" w:hAnsi="Calibri"/>
                <w:sz w:val="22"/>
              </w:rPr>
              <w:t>$21.58B</w:t>
            </w:r>
          </w:p>
        </w:tc>
        <w:tc>
          <w:tcPr>
            <w:tcW w:type="dxa" w:w="1234"/>
          </w:tcPr>
          <w:p>
            <w:r>
              <w:rPr>
                <w:rFonts w:ascii="Calibri" w:hAnsi="Calibri"/>
                <w:sz w:val="22"/>
              </w:rPr>
              <w:t>+10.6%</w:t>
            </w:r>
          </w:p>
        </w:tc>
        <w:tc>
          <w:tcPr>
            <w:tcW w:type="dxa" w:w="1234"/>
          </w:tcPr>
          <w:p>
            <w:r>
              <w:rPr>
                <w:rFonts w:ascii="Calibri" w:hAnsi="Calibri"/>
                <w:sz w:val="22"/>
              </w:rPr>
              <w:t>$21.3B – $21.7B</w:t>
            </w:r>
          </w:p>
        </w:tc>
        <w:tc>
          <w:tcPr>
            <w:tcW w:type="dxa" w:w="1234"/>
          </w:tcPr>
          <w:p>
            <w:r>
              <w:rPr>
                <w:rFonts w:ascii="Calibri" w:hAnsi="Calibri"/>
                <w:sz w:val="22"/>
              </w:rPr>
              <w:t>+0.4% vs. $21.5B mid</w:t>
            </w:r>
          </w:p>
        </w:tc>
      </w:tr>
      <w:tr>
        <w:tc>
          <w:tcPr>
            <w:tcW w:type="dxa" w:w="1234"/>
          </w:tcPr>
          <w:p>
            <w:r>
              <w:rPr>
                <w:rFonts w:ascii="Calibri" w:hAnsi="Calibri"/>
                <w:sz w:val="22"/>
              </w:rPr>
              <w:t>Net Revenue ($B)</w:t>
            </w:r>
          </w:p>
        </w:tc>
        <w:tc>
          <w:tcPr>
            <w:tcW w:type="dxa" w:w="1234"/>
          </w:tcPr>
          <w:p>
            <w:r>
              <w:rPr>
                <w:rFonts w:ascii="Calibri" w:hAnsi="Calibri"/>
                <w:sz w:val="22"/>
              </w:rPr>
              <w:t>$3.089B</w:t>
            </w:r>
          </w:p>
        </w:tc>
        <w:tc>
          <w:tcPr>
            <w:tcW w:type="dxa" w:w="1234"/>
          </w:tcPr>
          <w:p>
            <w:r>
              <w:rPr>
                <w:rFonts w:ascii="Calibri" w:hAnsi="Calibri"/>
                <w:sz w:val="22"/>
              </w:rPr>
              <w:t>$2.730B</w:t>
            </w:r>
          </w:p>
        </w:tc>
        <w:tc>
          <w:tcPr>
            <w:tcW w:type="dxa" w:w="1234"/>
          </w:tcPr>
          <w:p>
            <w:r>
              <w:rPr>
                <w:rFonts w:ascii="Calibri" w:hAnsi="Calibri"/>
                <w:sz w:val="22"/>
              </w:rPr>
              <w:t>$3.022B</w:t>
            </w:r>
          </w:p>
        </w:tc>
        <w:tc>
          <w:tcPr>
            <w:tcW w:type="dxa" w:w="1234"/>
          </w:tcPr>
          <w:p>
            <w:r>
              <w:rPr>
                <w:rFonts w:ascii="Calibri" w:hAnsi="Calibri"/>
                <w:sz w:val="22"/>
              </w:rPr>
              <w:t>+10.7%</w:t>
            </w:r>
          </w:p>
        </w:tc>
        <w:tc>
          <w:tcPr>
            <w:tcW w:type="dxa" w:w="1234"/>
          </w:tcPr>
          <w:p>
            <w:r>
              <w:rPr>
                <w:rFonts w:ascii="Calibri" w:hAnsi="Calibri"/>
                <w:sz w:val="22"/>
              </w:rPr>
              <w:t>$2.97B – $3.03B</w:t>
            </w:r>
          </w:p>
        </w:tc>
        <w:tc>
          <w:tcPr>
            <w:tcW w:type="dxa" w:w="1234"/>
          </w:tcPr>
          <w:p>
            <w:r>
              <w:rPr>
                <w:rFonts w:ascii="Calibri" w:hAnsi="Calibri"/>
                <w:sz w:val="22"/>
              </w:rPr>
              <w:t>+0.1% vs. $3.00B mid</w:t>
            </w:r>
          </w:p>
        </w:tc>
      </w:tr>
      <w:tr>
        <w:tc>
          <w:tcPr>
            <w:tcW w:type="dxa" w:w="1234"/>
          </w:tcPr>
          <w:p>
            <w:r>
              <w:rPr>
                <w:rFonts w:ascii="Calibri" w:hAnsi="Calibri"/>
                <w:sz w:val="22"/>
              </w:rPr>
              <w:t>Non-GAAP EPS (Diluted)</w:t>
            </w:r>
          </w:p>
        </w:tc>
        <w:tc>
          <w:tcPr>
            <w:tcW w:type="dxa" w:w="1234"/>
          </w:tcPr>
          <w:p>
            <w:r>
              <w:rPr>
                <w:rFonts w:ascii="Calibri" w:hAnsi="Calibri"/>
                <w:sz w:val="22"/>
              </w:rPr>
              <w:t>$1.66</w:t>
            </w:r>
          </w:p>
        </w:tc>
        <w:tc>
          <w:tcPr>
            <w:tcW w:type="dxa" w:w="1234"/>
          </w:tcPr>
          <w:p>
            <w:r>
              <w:rPr>
                <w:rFonts w:ascii="Calibri" w:hAnsi="Calibri"/>
                <w:sz w:val="22"/>
              </w:rPr>
              <w:t>$1.36</w:t>
            </w:r>
          </w:p>
        </w:tc>
        <w:tc>
          <w:tcPr>
            <w:tcW w:type="dxa" w:w="1234"/>
          </w:tcPr>
          <w:p>
            <w:r>
              <w:rPr>
                <w:rFonts w:ascii="Calibri" w:hAnsi="Calibri"/>
                <w:sz w:val="22"/>
              </w:rPr>
              <w:t>$1.51</w:t>
            </w:r>
          </w:p>
        </w:tc>
        <w:tc>
          <w:tcPr>
            <w:tcW w:type="dxa" w:w="1234"/>
          </w:tcPr>
          <w:p>
            <w:r>
              <w:rPr>
                <w:rFonts w:ascii="Calibri" w:hAnsi="Calibri"/>
                <w:sz w:val="22"/>
              </w:rPr>
              <w:t>+11.0%</w:t>
            </w:r>
          </w:p>
        </w:tc>
        <w:tc>
          <w:tcPr>
            <w:tcW w:type="dxa" w:w="1234"/>
          </w:tcPr>
          <w:p>
            <w:r>
              <w:rPr>
                <w:rFonts w:ascii="Calibri" w:hAnsi="Calibri"/>
                <w:sz w:val="22"/>
              </w:rPr>
              <w:t>$1.46 – $1.51</w:t>
            </w:r>
          </w:p>
        </w:tc>
        <w:tc>
          <w:tcPr>
            <w:tcW w:type="dxa" w:w="1234"/>
          </w:tcPr>
          <w:p>
            <w:r>
              <w:rPr>
                <w:rFonts w:ascii="Calibri" w:hAnsi="Calibri"/>
                <w:sz w:val="22"/>
              </w:rPr>
              <w:t>+0.0% vs. $1.485 mid (at top of range)</w:t>
            </w:r>
          </w:p>
        </w:tc>
      </w:tr>
      <w:tr>
        <w:tc>
          <w:tcPr>
            <w:tcW w:type="dxa" w:w="1234"/>
          </w:tcPr>
          <w:p>
            <w:r>
              <w:rPr>
                <w:rFonts w:ascii="Calibri" w:hAnsi="Calibri"/>
                <w:sz w:val="22"/>
              </w:rPr>
              <w:t>Advertising Revenue ($M)</w:t>
            </w:r>
          </w:p>
        </w:tc>
        <w:tc>
          <w:tcPr>
            <w:tcW w:type="dxa" w:w="1234"/>
          </w:tcPr>
          <w:p>
            <w:r>
              <w:rPr>
                <w:rFonts w:ascii="Calibri" w:hAnsi="Calibri"/>
                <w:sz w:val="22"/>
              </w:rPr>
              <w:t>$581M</w:t>
            </w:r>
          </w:p>
        </w:tc>
        <w:tc>
          <w:tcPr>
            <w:tcW w:type="dxa" w:w="1234"/>
          </w:tcPr>
          <w:p>
            <w:r>
              <w:rPr>
                <w:rFonts w:ascii="Calibri" w:hAnsi="Calibri"/>
                <w:sz w:val="22"/>
              </w:rPr>
              <w:t>$482M</w:t>
            </w:r>
          </w:p>
        </w:tc>
        <w:tc>
          <w:tcPr>
            <w:tcW w:type="dxa" w:w="1234"/>
          </w:tcPr>
          <w:p>
            <w:r>
              <w:rPr>
                <w:rFonts w:ascii="Calibri" w:hAnsi="Calibri"/>
                <w:sz w:val="22"/>
              </w:rPr>
              <w:t>$575M</w:t>
            </w:r>
          </w:p>
        </w:tc>
        <w:tc>
          <w:tcPr>
            <w:tcW w:type="dxa" w:w="1234"/>
          </w:tcPr>
          <w:p>
            <w:r>
              <w:rPr>
                <w:rFonts w:ascii="Calibri" w:hAnsi="Calibri"/>
                <w:sz w:val="22"/>
              </w:rPr>
              <w:t>+19.3%</w:t>
            </w:r>
          </w:p>
        </w:tc>
        <w:tc>
          <w:tcPr>
            <w:tcW w:type="dxa" w:w="1234"/>
          </w:tcPr>
          <w:p>
            <w:r>
              <w:rPr>
                <w:rFonts w:ascii="Calibri" w:hAnsi="Calibri"/>
                <w:sz w:val="22"/>
              </w:rPr>
              <w:t>No specific Q2 guide; “healthy” growth expected</w:t>
            </w:r>
          </w:p>
        </w:tc>
        <w:tc>
          <w:tcPr>
            <w:tcW w:type="dxa" w:w="1234"/>
          </w:tcPr>
          <w:p>
            <w:r>
              <w:rPr>
                <w:rFonts w:ascii="Calibri" w:hAnsi="Calibri"/>
                <w:sz w:val="22"/>
              </w:rPr>
              <w:t>N/A (no specific guide)</w:t>
            </w:r>
          </w:p>
        </w:tc>
      </w:tr>
      <w:tr>
        <w:tc>
          <w:tcPr>
            <w:tcW w:type="dxa" w:w="1234"/>
          </w:tcPr>
          <w:p>
            <w:r>
              <w:rPr>
                <w:rFonts w:ascii="Calibri" w:hAnsi="Calibri"/>
                <w:sz w:val="22"/>
              </w:rPr>
              <w:t>Active Buyers (M)</w:t>
            </w:r>
          </w:p>
        </w:tc>
        <w:tc>
          <w:tcPr>
            <w:tcW w:type="dxa" w:w="1234"/>
          </w:tcPr>
          <w:p>
            <w:r>
              <w:rPr>
                <w:rFonts w:ascii="Calibri" w:hAnsi="Calibri"/>
                <w:sz w:val="22"/>
              </w:rPr>
              <w:t>136M</w:t>
            </w:r>
          </w:p>
        </w:tc>
        <w:tc>
          <w:tcPr>
            <w:tcW w:type="dxa" w:w="1234"/>
          </w:tcPr>
          <w:p>
            <w:r>
              <w:rPr>
                <w:rFonts w:ascii="Calibri" w:hAnsi="Calibri"/>
                <w:sz w:val="22"/>
              </w:rPr>
              <w:t>134M</w:t>
            </w:r>
          </w:p>
        </w:tc>
        <w:tc>
          <w:tcPr>
            <w:tcW w:type="dxa" w:w="1234"/>
          </w:tcPr>
          <w:p>
            <w:r>
              <w:rPr>
                <w:rFonts w:ascii="Calibri" w:hAnsi="Calibri"/>
                <w:sz w:val="22"/>
              </w:rPr>
              <w:t>136.4M</w:t>
            </w:r>
          </w:p>
        </w:tc>
        <w:tc>
          <w:tcPr>
            <w:tcW w:type="dxa" w:w="1234"/>
          </w:tcPr>
          <w:p>
            <w:r>
              <w:rPr>
                <w:rFonts w:ascii="Calibri" w:hAnsi="Calibri"/>
                <w:sz w:val="22"/>
              </w:rPr>
              <w:t>+1.8%</w:t>
            </w:r>
          </w:p>
        </w:tc>
        <w:tc>
          <w:tcPr>
            <w:tcW w:type="dxa" w:w="1234"/>
          </w:tcPr>
          <w:p>
            <w:r>
              <w:rPr>
                <w:rFonts w:ascii="Calibri" w:hAnsi="Calibri"/>
                <w:sz w:val="22"/>
              </w:rPr>
              <w:t>No specific Q2 guide</w:t>
            </w:r>
          </w:p>
        </w:tc>
        <w:tc>
          <w:tcPr>
            <w:tcW w:type="dxa" w:w="1234"/>
          </w:tcPr>
          <w:p>
            <w:r>
              <w:rPr>
                <w:rFonts w:ascii="Calibri" w:hAnsi="Calibri"/>
                <w:sz w:val="22"/>
              </w:rPr>
              <w:t>N/A (no specific guide)</w:t>
            </w:r>
          </w:p>
        </w:tc>
      </w:tr>
    </w:tbl>
    <w:p>
      <w:r>
        <w:rPr>
          <w:rFonts w:ascii="Calibri" w:hAnsi="Calibri"/>
          <w:i/>
          <w:color w:val="525866"/>
          <w:sz w:val="22"/>
        </w:rPr>
        <w:t>Sources: Visible Alpha Consensus and Actuals Data (GMV, Net Revenue, Non-GAAP EPS, Advertising Revenue, Active Buyers); eBay Q1 2026 Earnings Release and Transcript (guidance ranges). All consensus figures as of August 4, 2026.</w:t>
      </w:r>
    </w:p>
    <w:p>
      <w:pPr>
        <w:pStyle w:val="Heading3"/>
      </w:pPr>
      <w:r>
        <w:rPr>
          <w:rFonts w:ascii="Calibri" w:hAnsi="Calibri"/>
          <w:b/>
          <w:color w:val="3B4259"/>
          <w:sz w:val="24"/>
        </w:rPr>
        <w:t>Table 2 — Beat/Miss History (Last 8 Quarters, Top 2 KPIs: GMV &amp; Non-GAAP EPS)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GMV Reported ($B)</w:t>
            </w:r>
          </w:p>
        </w:tc>
        <w:tc>
          <w:tcPr>
            <w:tcW w:type="dxa" w:w="960"/>
            <w:shd w:val="clear" w:color="auto" w:fill="3B4259"/>
          </w:tcPr>
          <w:p>
            <w:r>
              <w:rPr>
                <w:rFonts w:ascii="Calibri" w:hAnsi="Calibri"/>
                <w:b/>
                <w:color w:val="FFFFFF"/>
                <w:sz w:val="22"/>
              </w:rPr>
              <w:t>GMV Consensus ($B)</w:t>
            </w:r>
          </w:p>
        </w:tc>
        <w:tc>
          <w:tcPr>
            <w:tcW w:type="dxa" w:w="960"/>
            <w:shd w:val="clear" w:color="auto" w:fill="3B4259"/>
          </w:tcPr>
          <w:p>
            <w:r>
              <w:rPr>
                <w:rFonts w:ascii="Calibri" w:hAnsi="Calibri"/>
                <w:b/>
                <w:color w:val="FFFFFF"/>
                <w:sz w:val="22"/>
              </w:rPr>
              <w:t>GMV Surprise %</w:t>
            </w:r>
          </w:p>
        </w:tc>
        <w:tc>
          <w:tcPr>
            <w:tcW w:type="dxa" w:w="960"/>
            <w:shd w:val="clear" w:color="auto" w:fill="3B4259"/>
          </w:tcPr>
          <w:p>
            <w:r>
              <w:rPr>
                <w:rFonts w:ascii="Calibri" w:hAnsi="Calibri"/>
                <w:b/>
                <w:color w:val="FFFFFF"/>
                <w:sz w:val="22"/>
              </w:rPr>
              <w:t>GMV Result</w:t>
            </w:r>
          </w:p>
        </w:tc>
        <w:tc>
          <w:tcPr>
            <w:tcW w:type="dxa" w:w="960"/>
            <w:shd w:val="clear" w:color="auto" w:fill="3B4259"/>
          </w:tcPr>
          <w:p>
            <w:r>
              <w:rPr>
                <w:rFonts w:ascii="Calibri" w:hAnsi="Calibri"/>
                <w:b/>
                <w:color w:val="FFFFFF"/>
                <w:sz w:val="22"/>
              </w:rPr>
              <w:t>Non-GAAP EPS Reported</w:t>
            </w:r>
          </w:p>
        </w:tc>
        <w:tc>
          <w:tcPr>
            <w:tcW w:type="dxa" w:w="960"/>
            <w:shd w:val="clear" w:color="auto" w:fill="3B4259"/>
          </w:tcPr>
          <w:p>
            <w:r>
              <w:rPr>
                <w:rFonts w:ascii="Calibri" w:hAnsi="Calibri"/>
                <w:b/>
                <w:color w:val="FFFFFF"/>
                <w:sz w:val="22"/>
              </w:rPr>
              <w:t>Non-GAAP 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r>
      <w:tr>
        <w:tc>
          <w:tcPr>
            <w:tcW w:type="dxa" w:w="960"/>
          </w:tcPr>
          <w:p>
            <w:r>
              <w:rPr>
                <w:rFonts w:ascii="Calibri" w:hAnsi="Calibri"/>
                <w:sz w:val="22"/>
              </w:rPr>
              <w:t>Q1 2026</w:t>
            </w:r>
          </w:p>
        </w:tc>
        <w:tc>
          <w:tcPr>
            <w:tcW w:type="dxa" w:w="960"/>
          </w:tcPr>
          <w:p>
            <w:r>
              <w:rPr>
                <w:rFonts w:ascii="Calibri" w:hAnsi="Calibri"/>
                <w:sz w:val="22"/>
              </w:rPr>
              <w:t>$22.20B</w:t>
            </w:r>
          </w:p>
        </w:tc>
        <w:tc>
          <w:tcPr>
            <w:tcW w:type="dxa" w:w="960"/>
          </w:tcPr>
          <w:p>
            <w:r>
              <w:rPr>
                <w:rFonts w:ascii="Calibri" w:hAnsi="Calibri"/>
                <w:sz w:val="22"/>
              </w:rPr>
              <w:t>$21.74B</w:t>
            </w:r>
          </w:p>
        </w:tc>
        <w:tc>
          <w:tcPr>
            <w:tcW w:type="dxa" w:w="960"/>
          </w:tcPr>
          <w:p>
            <w:r>
              <w:rPr>
                <w:rFonts w:ascii="Calibri" w:hAnsi="Calibri"/>
                <w:b/>
                <w:color w:val="30A46C"/>
                <w:sz w:val="22"/>
              </w:rPr>
              <w:t>+2.1%</w:t>
            </w:r>
          </w:p>
        </w:tc>
        <w:tc>
          <w:tcPr>
            <w:tcW w:type="dxa" w:w="960"/>
          </w:tcPr>
          <w:p>
            <w:r>
              <w:rPr>
                <w:rFonts w:ascii="Calibri" w:hAnsi="Calibri"/>
                <w:b/>
                <w:color w:val="30A46C"/>
                <w:sz w:val="22"/>
              </w:rPr>
              <w:t>Beat</w:t>
            </w:r>
          </w:p>
        </w:tc>
        <w:tc>
          <w:tcPr>
            <w:tcW w:type="dxa" w:w="960"/>
          </w:tcPr>
          <w:p>
            <w:r>
              <w:rPr>
                <w:rFonts w:ascii="Calibri" w:hAnsi="Calibri"/>
                <w:sz w:val="22"/>
              </w:rPr>
              <w:t>$1.66</w:t>
            </w:r>
          </w:p>
        </w:tc>
        <w:tc>
          <w:tcPr>
            <w:tcW w:type="dxa" w:w="960"/>
          </w:tcPr>
          <w:p>
            <w:r>
              <w:rPr>
                <w:rFonts w:ascii="Calibri" w:hAnsi="Calibri"/>
                <w:sz w:val="22"/>
              </w:rPr>
              <w:t>$1.58</w:t>
            </w:r>
          </w:p>
        </w:tc>
        <w:tc>
          <w:tcPr>
            <w:tcW w:type="dxa" w:w="960"/>
          </w:tcPr>
          <w:p>
            <w:r>
              <w:rPr>
                <w:rFonts w:ascii="Calibri" w:hAnsi="Calibri"/>
                <w:b/>
                <w:color w:val="30A46C"/>
                <w:sz w:val="22"/>
              </w:rPr>
              <w:t>+5.1%</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$21.24B</w:t>
            </w:r>
          </w:p>
        </w:tc>
        <w:tc>
          <w:tcPr>
            <w:tcW w:type="dxa" w:w="960"/>
          </w:tcPr>
          <w:p>
            <w:r>
              <w:rPr>
                <w:rFonts w:ascii="Calibri" w:hAnsi="Calibri"/>
                <w:sz w:val="22"/>
              </w:rPr>
              <w:t>$20.69B</w:t>
            </w:r>
          </w:p>
        </w:tc>
        <w:tc>
          <w:tcPr>
            <w:tcW w:type="dxa" w:w="960"/>
          </w:tcPr>
          <w:p>
            <w:r>
              <w:rPr>
                <w:rFonts w:ascii="Calibri" w:hAnsi="Calibri"/>
                <w:b/>
                <w:color w:val="30A46C"/>
                <w:sz w:val="22"/>
              </w:rPr>
              <w:t>+2.7%</w:t>
            </w:r>
          </w:p>
        </w:tc>
        <w:tc>
          <w:tcPr>
            <w:tcW w:type="dxa" w:w="960"/>
          </w:tcPr>
          <w:p>
            <w:r>
              <w:rPr>
                <w:rFonts w:ascii="Calibri" w:hAnsi="Calibri"/>
                <w:b/>
                <w:color w:val="30A46C"/>
                <w:sz w:val="22"/>
              </w:rPr>
              <w:t>Beat</w:t>
            </w:r>
          </w:p>
        </w:tc>
        <w:tc>
          <w:tcPr>
            <w:tcW w:type="dxa" w:w="960"/>
          </w:tcPr>
          <w:p>
            <w:r>
              <w:rPr>
                <w:rFonts w:ascii="Calibri" w:hAnsi="Calibri"/>
                <w:sz w:val="22"/>
              </w:rPr>
              <w:t>$1.40</w:t>
            </w:r>
          </w:p>
        </w:tc>
        <w:tc>
          <w:tcPr>
            <w:tcW w:type="dxa" w:w="960"/>
          </w:tcPr>
          <w:p>
            <w:r>
              <w:rPr>
                <w:rFonts w:ascii="Calibri" w:hAnsi="Calibri"/>
                <w:sz w:val="22"/>
              </w:rPr>
              <w:t>$1.35</w:t>
            </w:r>
          </w:p>
        </w:tc>
        <w:tc>
          <w:tcPr>
            <w:tcW w:type="dxa" w:w="960"/>
          </w:tcPr>
          <w:p>
            <w:r>
              <w:rPr>
                <w:rFonts w:ascii="Calibri" w:hAnsi="Calibri"/>
                <w:b/>
                <w:color w:val="30A46C"/>
                <w:sz w:val="22"/>
              </w:rPr>
              <w:t>+3.7%</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$20.11B</w:t>
            </w:r>
          </w:p>
        </w:tc>
        <w:tc>
          <w:tcPr>
            <w:tcW w:type="dxa" w:w="960"/>
          </w:tcPr>
          <w:p>
            <w:r>
              <w:rPr>
                <w:rFonts w:ascii="Calibri" w:hAnsi="Calibri"/>
                <w:sz w:val="22"/>
              </w:rPr>
              <w:t>$19.37B</w:t>
            </w:r>
          </w:p>
        </w:tc>
        <w:tc>
          <w:tcPr>
            <w:tcW w:type="dxa" w:w="960"/>
          </w:tcPr>
          <w:p>
            <w:r>
              <w:rPr>
                <w:rFonts w:ascii="Calibri" w:hAnsi="Calibri"/>
                <w:b/>
                <w:color w:val="30A46C"/>
                <w:sz w:val="22"/>
              </w:rPr>
              <w:t>+3.8%</w:t>
            </w:r>
          </w:p>
        </w:tc>
        <w:tc>
          <w:tcPr>
            <w:tcW w:type="dxa" w:w="960"/>
          </w:tcPr>
          <w:p>
            <w:r>
              <w:rPr>
                <w:rFonts w:ascii="Calibri" w:hAnsi="Calibri"/>
                <w:b/>
                <w:color w:val="30A46C"/>
                <w:sz w:val="22"/>
              </w:rPr>
              <w:t>Beat</w:t>
            </w:r>
          </w:p>
        </w:tc>
        <w:tc>
          <w:tcPr>
            <w:tcW w:type="dxa" w:w="960"/>
          </w:tcPr>
          <w:p>
            <w:r>
              <w:rPr>
                <w:rFonts w:ascii="Calibri" w:hAnsi="Calibri"/>
                <w:sz w:val="22"/>
              </w:rPr>
              <w:t>$1.35</w:t>
            </w:r>
          </w:p>
        </w:tc>
        <w:tc>
          <w:tcPr>
            <w:tcW w:type="dxa" w:w="960"/>
          </w:tcPr>
          <w:p>
            <w:r>
              <w:rPr>
                <w:rFonts w:ascii="Calibri" w:hAnsi="Calibri"/>
                <w:sz w:val="22"/>
              </w:rPr>
              <w:t>$1.33</w:t>
            </w:r>
          </w:p>
        </w:tc>
        <w:tc>
          <w:tcPr>
            <w:tcW w:type="dxa" w:w="960"/>
          </w:tcPr>
          <w:p>
            <w:r>
              <w:rPr>
                <w:rFonts w:ascii="Calibri" w:hAnsi="Calibri"/>
                <w:b/>
                <w:color w:val="30A46C"/>
                <w:sz w:val="22"/>
              </w:rPr>
              <w:t>+1.5%</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$19.51B</w:t>
            </w:r>
          </w:p>
        </w:tc>
        <w:tc>
          <w:tcPr>
            <w:tcW w:type="dxa" w:w="960"/>
          </w:tcPr>
          <w:p>
            <w:r>
              <w:rPr>
                <w:rFonts w:ascii="Calibri" w:hAnsi="Calibri"/>
                <w:sz w:val="22"/>
              </w:rPr>
              <w:t>$18.88B</w:t>
            </w:r>
          </w:p>
        </w:tc>
        <w:tc>
          <w:tcPr>
            <w:tcW w:type="dxa" w:w="960"/>
          </w:tcPr>
          <w:p>
            <w:r>
              <w:rPr>
                <w:rFonts w:ascii="Calibri" w:hAnsi="Calibri"/>
                <w:b/>
                <w:color w:val="30A46C"/>
                <w:sz w:val="22"/>
              </w:rPr>
              <w:t>+3.3%</w:t>
            </w:r>
          </w:p>
        </w:tc>
        <w:tc>
          <w:tcPr>
            <w:tcW w:type="dxa" w:w="960"/>
          </w:tcPr>
          <w:p>
            <w:r>
              <w:rPr>
                <w:rFonts w:ascii="Calibri" w:hAnsi="Calibri"/>
                <w:b/>
                <w:color w:val="30A46C"/>
                <w:sz w:val="22"/>
              </w:rPr>
              <w:t>Beat</w:t>
            </w:r>
          </w:p>
        </w:tc>
        <w:tc>
          <w:tcPr>
            <w:tcW w:type="dxa" w:w="960"/>
          </w:tcPr>
          <w:p>
            <w:r>
              <w:rPr>
                <w:rFonts w:ascii="Calibri" w:hAnsi="Calibri"/>
                <w:sz w:val="22"/>
              </w:rPr>
              <w:t>$1.36</w:t>
            </w:r>
          </w:p>
        </w:tc>
        <w:tc>
          <w:tcPr>
            <w:tcW w:type="dxa" w:w="960"/>
          </w:tcPr>
          <w:p>
            <w:r>
              <w:rPr>
                <w:rFonts w:ascii="Calibri" w:hAnsi="Calibri"/>
                <w:sz w:val="22"/>
              </w:rPr>
              <w:t>$1.30</w:t>
            </w:r>
          </w:p>
        </w:tc>
        <w:tc>
          <w:tcPr>
            <w:tcW w:type="dxa" w:w="960"/>
          </w:tcPr>
          <w:p>
            <w:r>
              <w:rPr>
                <w:rFonts w:ascii="Calibri" w:hAnsi="Calibri"/>
                <w:b/>
                <w:color w:val="30A46C"/>
                <w:sz w:val="22"/>
              </w:rPr>
              <w:t>+4.6%</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$18.75B</w:t>
            </w:r>
          </w:p>
        </w:tc>
        <w:tc>
          <w:tcPr>
            <w:tcW w:type="dxa" w:w="960"/>
          </w:tcPr>
          <w:p>
            <w:r>
              <w:rPr>
                <w:rFonts w:ascii="Calibri" w:hAnsi="Calibri"/>
                <w:sz w:val="22"/>
              </w:rPr>
              <w:t>$18.52B</w:t>
            </w:r>
          </w:p>
        </w:tc>
        <w:tc>
          <w:tcPr>
            <w:tcW w:type="dxa" w:w="960"/>
          </w:tcPr>
          <w:p>
            <w:r>
              <w:rPr>
                <w:rFonts w:ascii="Calibri" w:hAnsi="Calibri"/>
                <w:b/>
                <w:color w:val="30A46C"/>
                <w:sz w:val="22"/>
              </w:rPr>
              <w:t>+1.2%</w:t>
            </w:r>
          </w:p>
        </w:tc>
        <w:tc>
          <w:tcPr>
            <w:tcW w:type="dxa" w:w="960"/>
          </w:tcPr>
          <w:p>
            <w:r>
              <w:rPr>
                <w:rFonts w:ascii="Calibri" w:hAnsi="Calibri"/>
                <w:b/>
                <w:color w:val="30A46C"/>
                <w:sz w:val="22"/>
              </w:rPr>
              <w:t>Beat</w:t>
            </w:r>
          </w:p>
        </w:tc>
        <w:tc>
          <w:tcPr>
            <w:tcW w:type="dxa" w:w="960"/>
          </w:tcPr>
          <w:p>
            <w:r>
              <w:rPr>
                <w:rFonts w:ascii="Calibri" w:hAnsi="Calibri"/>
                <w:sz w:val="22"/>
              </w:rPr>
              <w:t>$1.37</w:t>
            </w:r>
          </w:p>
        </w:tc>
        <w:tc>
          <w:tcPr>
            <w:tcW w:type="dxa" w:w="960"/>
          </w:tcPr>
          <w:p>
            <w:r>
              <w:rPr>
                <w:rFonts w:ascii="Calibri" w:hAnsi="Calibri"/>
                <w:sz w:val="22"/>
              </w:rPr>
              <w:t>$1.34</w:t>
            </w:r>
          </w:p>
        </w:tc>
        <w:tc>
          <w:tcPr>
            <w:tcW w:type="dxa" w:w="960"/>
          </w:tcPr>
          <w:p>
            <w:r>
              <w:rPr>
                <w:rFonts w:ascii="Calibri" w:hAnsi="Calibri"/>
                <w:b/>
                <w:color w:val="30A46C"/>
                <w:sz w:val="22"/>
              </w:rPr>
              <w:t>+2.2%</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$19.32B</w:t>
            </w:r>
          </w:p>
        </w:tc>
        <w:tc>
          <w:tcPr>
            <w:tcW w:type="dxa" w:w="960"/>
          </w:tcPr>
          <w:p>
            <w:r>
              <w:rPr>
                <w:rFonts w:ascii="Calibri" w:hAnsi="Calibri"/>
                <w:sz w:val="22"/>
              </w:rPr>
              <w:t>$19.05B</w:t>
            </w:r>
          </w:p>
        </w:tc>
        <w:tc>
          <w:tcPr>
            <w:tcW w:type="dxa" w:w="960"/>
          </w:tcPr>
          <w:p>
            <w:r>
              <w:rPr>
                <w:rFonts w:ascii="Calibri" w:hAnsi="Calibri"/>
                <w:b/>
                <w:color w:val="30A46C"/>
                <w:sz w:val="22"/>
              </w:rPr>
              <w:t>+1.4%</w:t>
            </w:r>
          </w:p>
        </w:tc>
        <w:tc>
          <w:tcPr>
            <w:tcW w:type="dxa" w:w="960"/>
          </w:tcPr>
          <w:p>
            <w:r>
              <w:rPr>
                <w:rFonts w:ascii="Calibri" w:hAnsi="Calibri"/>
                <w:b/>
                <w:color w:val="30A46C"/>
                <w:sz w:val="22"/>
              </w:rPr>
              <w:t>Beat</w:t>
            </w:r>
          </w:p>
        </w:tc>
        <w:tc>
          <w:tcPr>
            <w:tcW w:type="dxa" w:w="960"/>
          </w:tcPr>
          <w:p>
            <w:r>
              <w:rPr>
                <w:rFonts w:ascii="Calibri" w:hAnsi="Calibri"/>
                <w:sz w:val="22"/>
              </w:rPr>
              <w:t>$1.25</w:t>
            </w:r>
          </w:p>
        </w:tc>
        <w:tc>
          <w:tcPr>
            <w:tcW w:type="dxa" w:w="960"/>
          </w:tcPr>
          <w:p>
            <w:r>
              <w:rPr>
                <w:rFonts w:ascii="Calibri" w:hAnsi="Calibri"/>
                <w:sz w:val="22"/>
              </w:rPr>
              <w:t>$1.20</w:t>
            </w:r>
          </w:p>
        </w:tc>
        <w:tc>
          <w:tcPr>
            <w:tcW w:type="dxa" w:w="960"/>
          </w:tcPr>
          <w:p>
            <w:r>
              <w:rPr>
                <w:rFonts w:ascii="Calibri" w:hAnsi="Calibri"/>
                <w:b/>
                <w:color w:val="30A46C"/>
                <w:sz w:val="22"/>
              </w:rPr>
              <w:t>+4.2%</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$18.31B</w:t>
            </w:r>
          </w:p>
        </w:tc>
        <w:tc>
          <w:tcPr>
            <w:tcW w:type="dxa" w:w="960"/>
          </w:tcPr>
          <w:p>
            <w:r>
              <w:rPr>
                <w:rFonts w:ascii="Calibri" w:hAnsi="Calibri"/>
                <w:sz w:val="22"/>
              </w:rPr>
              <w:t>$18.10B</w:t>
            </w:r>
          </w:p>
        </w:tc>
        <w:tc>
          <w:tcPr>
            <w:tcW w:type="dxa" w:w="960"/>
          </w:tcPr>
          <w:p>
            <w:r>
              <w:rPr>
                <w:rFonts w:ascii="Calibri" w:hAnsi="Calibri"/>
                <w:b/>
                <w:color w:val="30A46C"/>
                <w:sz w:val="22"/>
              </w:rPr>
              <w:t>+1.2%</w:t>
            </w:r>
          </w:p>
        </w:tc>
        <w:tc>
          <w:tcPr>
            <w:tcW w:type="dxa" w:w="960"/>
          </w:tcPr>
          <w:p>
            <w:r>
              <w:rPr>
                <w:rFonts w:ascii="Calibri" w:hAnsi="Calibri"/>
                <w:b/>
                <w:color w:val="30A46C"/>
                <w:sz w:val="22"/>
              </w:rPr>
              <w:t>Beat</w:t>
            </w:r>
          </w:p>
        </w:tc>
        <w:tc>
          <w:tcPr>
            <w:tcW w:type="dxa" w:w="960"/>
          </w:tcPr>
          <w:p>
            <w:r>
              <w:rPr>
                <w:rFonts w:ascii="Calibri" w:hAnsi="Calibri"/>
                <w:sz w:val="22"/>
              </w:rPr>
              <w:t>$1.19</w:t>
            </w:r>
          </w:p>
        </w:tc>
        <w:tc>
          <w:tcPr>
            <w:tcW w:type="dxa" w:w="960"/>
          </w:tcPr>
          <w:p>
            <w:r>
              <w:rPr>
                <w:rFonts w:ascii="Calibri" w:hAnsi="Calibri"/>
                <w:sz w:val="22"/>
              </w:rPr>
              <w:t>$1.18</w:t>
            </w:r>
          </w:p>
        </w:tc>
        <w:tc>
          <w:tcPr>
            <w:tcW w:type="dxa" w:w="960"/>
          </w:tcPr>
          <w:p>
            <w:r>
              <w:rPr>
                <w:rFonts w:ascii="Calibri" w:hAnsi="Calibri"/>
                <w:b/>
                <w:color w:val="30A46C"/>
                <w:sz w:val="22"/>
              </w:rPr>
              <w:t>+0.8%</w:t>
            </w:r>
          </w:p>
        </w:tc>
        <w:tc>
          <w:tcPr>
            <w:tcW w:type="dxa" w:w="960"/>
          </w:tcPr>
          <w:p>
            <w:r>
              <w:rPr>
                <w:rFonts w:ascii="Calibri" w:hAnsi="Calibri"/>
                <w:b/>
                <w:color w:val="30A46C"/>
                <w:sz w:val="22"/>
              </w:rPr>
              <w:t>Beat</w:t>
            </w:r>
          </w:p>
        </w:tc>
      </w:tr>
      <w:tr>
        <w:tc>
          <w:tcPr>
            <w:tcW w:type="dxa" w:w="960"/>
          </w:tcPr>
          <w:p>
            <w:r>
              <w:rPr>
                <w:rFonts w:ascii="Calibri" w:hAnsi="Calibri"/>
                <w:sz w:val="22"/>
              </w:rPr>
              <w:t>Q2 2024</w:t>
            </w:r>
          </w:p>
        </w:tc>
        <w:tc>
          <w:tcPr>
            <w:tcW w:type="dxa" w:w="960"/>
          </w:tcPr>
          <w:p>
            <w:r>
              <w:rPr>
                <w:rFonts w:ascii="Calibri" w:hAnsi="Calibri"/>
                <w:sz w:val="22"/>
              </w:rPr>
              <w:t>$18.41B</w:t>
            </w:r>
          </w:p>
        </w:tc>
        <w:tc>
          <w:tcPr>
            <w:tcW w:type="dxa" w:w="960"/>
          </w:tcPr>
          <w:p>
            <w:r>
              <w:rPr>
                <w:rFonts w:ascii="Calibri" w:hAnsi="Calibri"/>
                <w:sz w:val="22"/>
              </w:rPr>
              <w:t>$18.10B</w:t>
            </w:r>
          </w:p>
        </w:tc>
        <w:tc>
          <w:tcPr>
            <w:tcW w:type="dxa" w:w="960"/>
          </w:tcPr>
          <w:p>
            <w:r>
              <w:rPr>
                <w:rFonts w:ascii="Calibri" w:hAnsi="Calibri"/>
                <w:b/>
                <w:color w:val="30A46C"/>
                <w:sz w:val="22"/>
              </w:rPr>
              <w:t>+1.7%</w:t>
            </w:r>
          </w:p>
        </w:tc>
        <w:tc>
          <w:tcPr>
            <w:tcW w:type="dxa" w:w="960"/>
          </w:tcPr>
          <w:p>
            <w:r>
              <w:rPr>
                <w:rFonts w:ascii="Calibri" w:hAnsi="Calibri"/>
                <w:b/>
                <w:color w:val="30A46C"/>
                <w:sz w:val="22"/>
              </w:rPr>
              <w:t>Beat</w:t>
            </w:r>
          </w:p>
        </w:tc>
        <w:tc>
          <w:tcPr>
            <w:tcW w:type="dxa" w:w="960"/>
          </w:tcPr>
          <w:p>
            <w:r>
              <w:rPr>
                <w:rFonts w:ascii="Calibri" w:hAnsi="Calibri"/>
                <w:sz w:val="22"/>
              </w:rPr>
              <w:t>$1.19</w:t>
            </w:r>
          </w:p>
        </w:tc>
        <w:tc>
          <w:tcPr>
            <w:tcW w:type="dxa" w:w="960"/>
          </w:tcPr>
          <w:p>
            <w:r>
              <w:rPr>
                <w:rFonts w:ascii="Calibri" w:hAnsi="Calibri"/>
                <w:sz w:val="22"/>
              </w:rPr>
              <w:t>$1.18</w:t>
            </w:r>
          </w:p>
        </w:tc>
        <w:tc>
          <w:tcPr>
            <w:tcW w:type="dxa" w:w="960"/>
          </w:tcPr>
          <w:p>
            <w:r>
              <w:rPr>
                <w:rFonts w:ascii="Calibri" w:hAnsi="Calibri"/>
                <w:b/>
                <w:color w:val="30A46C"/>
                <w:sz w:val="22"/>
              </w:rPr>
              <w:t>+0.8%</w:t>
            </w:r>
          </w:p>
        </w:tc>
        <w:tc>
          <w:tcPr>
            <w:tcW w:type="dxa" w:w="96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eBay has beaten GMV consensus in each of the last 8 quarters, with beat magnitude accelerating from ~1–2% in 2024 to 2–4% in 2025–2026 — a consistent track record that sets a high bar for Q2 2026 but also suggests management guides conservatively.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Q1 2026 earnings call on April 29, 2026. Management tone was constructive — full-year GMV guidance was raised and operating income growth guidance was lifted — but Q2 guidance implies deliberate deceleration driven by known lapping dynamics, not deteriorating fundamentals.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GMV</w:t>
            </w:r>
          </w:p>
        </w:tc>
        <w:tc>
          <w:tcPr>
            <w:tcW w:type="dxa" w:w="1728"/>
          </w:tcPr>
          <w:p>
            <w:r>
              <w:rPr>
                <w:rFonts w:ascii="Calibri" w:hAnsi="Calibri"/>
                <w:sz w:val="22"/>
              </w:rPr>
              <w:t>$21.3B – $21.7B (FX-neutral +8% to +10% YoY)</w:t>
            </w:r>
          </w:p>
        </w:tc>
        <w:tc>
          <w:tcPr>
            <w:tcW w:type="dxa" w:w="1728"/>
          </w:tcPr>
          <w:p>
            <w:r>
              <w:rPr>
                <w:rFonts w:ascii="Calibri" w:hAnsi="Calibri"/>
                <w:sz w:val="22"/>
              </w:rPr>
              <w:t>—</w:t>
            </w:r>
          </w:p>
        </w:tc>
        <w:tc>
          <w:tcPr>
            <w:tcW w:type="dxa" w:w="1728"/>
          </w:tcPr>
          <w:p>
            <w:r>
              <w:rPr>
                <w:rFonts w:ascii="Calibri" w:hAnsi="Calibri"/>
                <w:sz w:val="22"/>
              </w:rPr>
              <w:t>$21.58B</w:t>
            </w:r>
          </w:p>
        </w:tc>
        <w:tc>
          <w:tcPr>
            <w:tcW w:type="dxa" w:w="1728"/>
          </w:tcPr>
          <w:p>
            <w:r>
              <w:rPr>
                <w:rFonts w:ascii="Calibri" w:hAnsi="Calibri"/>
                <w:sz w:val="22"/>
              </w:rPr>
              <w:t>No post-earnings revision; consensus at midpoint. Deceleration from Q1’s ~14% FX-neutral growth is mechanical (bullion normalization, Klarna/marketing lapping).</w:t>
            </w:r>
          </w:p>
        </w:tc>
      </w:tr>
      <w:tr>
        <w:tc>
          <w:tcPr>
            <w:tcW w:type="dxa" w:w="1728"/>
          </w:tcPr>
          <w:p>
            <w:r>
              <w:rPr>
                <w:rFonts w:ascii="Calibri" w:hAnsi="Calibri"/>
                <w:sz w:val="22"/>
              </w:rPr>
              <w:t>Q2 2026 Net Revenue</w:t>
            </w:r>
          </w:p>
        </w:tc>
        <w:tc>
          <w:tcPr>
            <w:tcW w:type="dxa" w:w="1728"/>
          </w:tcPr>
          <w:p>
            <w:r>
              <w:rPr>
                <w:rFonts w:ascii="Calibri" w:hAnsi="Calibri"/>
                <w:sz w:val="22"/>
              </w:rPr>
              <w:t>$2.97B – $3.03B (FX-neutral +8% to +10% YoY)</w:t>
            </w:r>
          </w:p>
        </w:tc>
        <w:tc>
          <w:tcPr>
            <w:tcW w:type="dxa" w:w="1728"/>
          </w:tcPr>
          <w:p>
            <w:r>
              <w:rPr>
                <w:rFonts w:ascii="Calibri" w:hAnsi="Calibri"/>
                <w:sz w:val="22"/>
              </w:rPr>
              <w:t>—</w:t>
            </w:r>
          </w:p>
        </w:tc>
        <w:tc>
          <w:tcPr>
            <w:tcW w:type="dxa" w:w="1728"/>
          </w:tcPr>
          <w:p>
            <w:r>
              <w:rPr>
                <w:rFonts w:ascii="Calibri" w:hAnsi="Calibri"/>
                <w:sz w:val="22"/>
              </w:rPr>
              <w:t>$3.022B</w:t>
            </w:r>
          </w:p>
        </w:tc>
        <w:tc>
          <w:tcPr>
            <w:tcW w:type="dxa" w:w="1728"/>
          </w:tcPr>
          <w:p>
            <w:r>
              <w:rPr>
                <w:rFonts w:ascii="Calibri" w:hAnsi="Calibri"/>
                <w:sz w:val="22"/>
              </w:rPr>
              <w:t>No post-earnings revision; consensus essentially at midpoint.</w:t>
            </w:r>
          </w:p>
        </w:tc>
      </w:tr>
      <w:tr>
        <w:tc>
          <w:tcPr>
            <w:tcW w:type="dxa" w:w="1728"/>
          </w:tcPr>
          <w:p>
            <w:r>
              <w:rPr>
                <w:rFonts w:ascii="Calibri" w:hAnsi="Calibri"/>
                <w:sz w:val="22"/>
              </w:rPr>
              <w:t>Q2 2026 Non-GAAP EPS</w:t>
            </w:r>
          </w:p>
        </w:tc>
        <w:tc>
          <w:tcPr>
            <w:tcW w:type="dxa" w:w="1728"/>
          </w:tcPr>
          <w:p>
            <w:r>
              <w:rPr>
                <w:rFonts w:ascii="Calibri" w:hAnsi="Calibri"/>
                <w:sz w:val="22"/>
              </w:rPr>
              <w:t>$1.46 – $1.51 (+7% to +11% YoY)</w:t>
            </w:r>
          </w:p>
        </w:tc>
        <w:tc>
          <w:tcPr>
            <w:tcW w:type="dxa" w:w="1728"/>
          </w:tcPr>
          <w:p>
            <w:r>
              <w:rPr>
                <w:rFonts w:ascii="Calibri" w:hAnsi="Calibri"/>
                <w:sz w:val="22"/>
              </w:rPr>
              <w:t>—</w:t>
            </w:r>
          </w:p>
        </w:tc>
        <w:tc>
          <w:tcPr>
            <w:tcW w:type="dxa" w:w="1728"/>
          </w:tcPr>
          <w:p>
            <w:r>
              <w:rPr>
                <w:rFonts w:ascii="Calibri" w:hAnsi="Calibri"/>
                <w:sz w:val="22"/>
              </w:rPr>
              <w:t>$1.51</w:t>
            </w:r>
          </w:p>
        </w:tc>
        <w:tc>
          <w:tcPr>
            <w:tcW w:type="dxa" w:w="1728"/>
          </w:tcPr>
          <w:p>
            <w:r>
              <w:rPr>
                <w:rFonts w:ascii="Calibri" w:hAnsi="Calibri"/>
                <w:sz w:val="22"/>
              </w:rPr>
              <w:t>No post-earnings revision; consensus at top of guidance range.</w:t>
            </w:r>
          </w:p>
        </w:tc>
      </w:tr>
      <w:tr>
        <w:tc>
          <w:tcPr>
            <w:tcW w:type="dxa" w:w="1728"/>
          </w:tcPr>
          <w:p>
            <w:r>
              <w:rPr>
                <w:rFonts w:ascii="Calibri" w:hAnsi="Calibri"/>
                <w:sz w:val="22"/>
              </w:rPr>
              <w:t>Q2 2026 Non-GAAP Operating Margin</w:t>
            </w:r>
          </w:p>
        </w:tc>
        <w:tc>
          <w:tcPr>
            <w:tcW w:type="dxa" w:w="1728"/>
          </w:tcPr>
          <w:p>
            <w:r>
              <w:rPr>
                <w:rFonts w:ascii="Calibri" w:hAnsi="Calibri"/>
                <w:sz w:val="22"/>
              </w:rPr>
              <w:t>27.6% – 28.1% (operating income growth +6% to +10% YoY)</w:t>
            </w:r>
          </w:p>
        </w:tc>
        <w:tc>
          <w:tcPr>
            <w:tcW w:type="dxa" w:w="1728"/>
          </w:tcPr>
          <w:p>
            <w:r>
              <w:rPr>
                <w:rFonts w:ascii="Calibri" w:hAnsi="Calibri"/>
                <w:sz w:val="22"/>
              </w:rPr>
              <w:t>—</w:t>
            </w:r>
          </w:p>
        </w:tc>
        <w:tc>
          <w:tcPr>
            <w:tcW w:type="dxa" w:w="1728"/>
          </w:tcPr>
          <w:p>
            <w:r>
              <w:rPr>
                <w:rFonts w:ascii="Calibri" w:hAnsi="Calibri"/>
                <w:sz w:val="22"/>
              </w:rPr>
              <w:t>~27.8% (implied)</w:t>
            </w:r>
          </w:p>
        </w:tc>
        <w:tc>
          <w:tcPr>
            <w:tcW w:type="dxa" w:w="1728"/>
          </w:tcPr>
          <w:p>
            <w:r>
              <w:rPr>
                <w:rFonts w:ascii="Calibri" w:hAnsi="Calibri"/>
                <w:sz w:val="22"/>
              </w:rPr>
              <w:t>Margin step-down from Q1’s 29.4% reflects reinvestment in strategic priorities.</w:t>
            </w:r>
          </w:p>
        </w:tc>
      </w:tr>
      <w:tr>
        <w:tc>
          <w:tcPr>
            <w:tcW w:type="dxa" w:w="1728"/>
          </w:tcPr>
          <w:p>
            <w:r>
              <w:rPr>
                <w:rFonts w:ascii="Calibri" w:hAnsi="Calibri"/>
                <w:sz w:val="22"/>
              </w:rPr>
              <w:t>FY 2026 GMV (ex-Depop)</w:t>
            </w:r>
          </w:p>
        </w:tc>
        <w:tc>
          <w:tcPr>
            <w:tcW w:type="dxa" w:w="1728"/>
          </w:tcPr>
          <w:p>
            <w:r>
              <w:rPr>
                <w:rFonts w:ascii="Calibri" w:hAnsi="Calibri"/>
                <w:sz w:val="22"/>
              </w:rPr>
              <w:t>FX-neutral +7% to +7.5% YoY (raised from prior ~+5–6%)</w:t>
            </w:r>
          </w:p>
        </w:tc>
        <w:tc>
          <w:tcPr>
            <w:tcW w:type="dxa" w:w="1728"/>
          </w:tcPr>
          <w:p>
            <w:r>
              <w:rPr>
                <w:rFonts w:ascii="Calibri" w:hAnsi="Calibri"/>
                <w:sz w:val="22"/>
              </w:rPr>
              <w:t>—</w:t>
            </w:r>
          </w:p>
        </w:tc>
        <w:tc>
          <w:tcPr>
            <w:tcW w:type="dxa" w:w="1728"/>
          </w:tcPr>
          <w:p>
            <w:r>
              <w:rPr>
                <w:rFonts w:ascii="Calibri" w:hAnsi="Calibri"/>
                <w:sz w:val="22"/>
              </w:rPr>
              <w:t>$87.0B</w:t>
            </w:r>
          </w:p>
        </w:tc>
        <w:tc>
          <w:tcPr>
            <w:tcW w:type="dxa" w:w="1728"/>
          </w:tcPr>
          <w:p>
            <w:r>
              <w:rPr>
                <w:rFonts w:ascii="Calibri" w:hAnsi="Calibri"/>
                <w:sz w:val="22"/>
              </w:rPr>
              <w:t>↑ Raised at Q1 2026 earnings; reflects strong momentum balanced against tougher H2 comps.</w:t>
            </w:r>
          </w:p>
        </w:tc>
      </w:tr>
      <w:tr>
        <w:tc>
          <w:tcPr>
            <w:tcW w:type="dxa" w:w="1728"/>
          </w:tcPr>
          <w:p>
            <w:r>
              <w:rPr>
                <w:rFonts w:ascii="Calibri" w:hAnsi="Calibri"/>
                <w:sz w:val="22"/>
              </w:rPr>
              <w:t>FY 2026 Non-GAAP Operating Income (ex-Depop)</w:t>
            </w:r>
          </w:p>
        </w:tc>
        <w:tc>
          <w:tcPr>
            <w:tcW w:type="dxa" w:w="1728"/>
          </w:tcPr>
          <w:p>
            <w:r>
              <w:rPr>
                <w:rFonts w:ascii="Calibri" w:hAnsi="Calibri"/>
                <w:sz w:val="22"/>
              </w:rPr>
              <w:t>+9% to +11% YoY (raised)</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 Raised at Q1 2026 earnings; Depop acquisition expected to be a low-single-digit headwind to this growth.</w:t>
            </w:r>
          </w:p>
        </w:tc>
      </w:tr>
      <w:tr>
        <w:tc>
          <w:tcPr>
            <w:tcW w:type="dxa" w:w="1728"/>
          </w:tcPr>
          <w:p>
            <w:r>
              <w:rPr>
                <w:rFonts w:ascii="Calibri" w:hAnsi="Calibri"/>
                <w:sz w:val="22"/>
              </w:rPr>
              <w:t>Depop Acquisition Close</w:t>
            </w:r>
          </w:p>
        </w:tc>
        <w:tc>
          <w:tcPr>
            <w:tcW w:type="dxa" w:w="1728"/>
          </w:tcPr>
          <w:p>
            <w:r>
              <w:rPr>
                <w:rFonts w:ascii="Calibri" w:hAnsi="Calibri"/>
                <w:sz w:val="22"/>
              </w:rPr>
              <w:t>Expected by end of Q3 2026 (delayed from Q2)</w:t>
            </w:r>
          </w:p>
        </w:tc>
        <w:tc>
          <w:tcPr>
            <w:tcW w:type="dxa" w:w="1728"/>
          </w:tcPr>
          <w:p>
            <w:r>
              <w:rPr>
                <w:rFonts w:ascii="Calibri" w:hAnsi="Calibri"/>
                <w:sz w:val="22"/>
              </w:rPr>
              <w:t>Closed July 30, 2026 at ~$1.4B</w:t>
            </w:r>
          </w:p>
        </w:tc>
        <w:tc>
          <w:tcPr>
            <w:tcW w:type="dxa" w:w="1728"/>
          </w:tcPr>
          <w:p>
            <w:r>
              <w:rPr>
                <w:rFonts w:ascii="Calibri" w:hAnsi="Calibri"/>
                <w:sz w:val="22"/>
              </w:rPr>
              <w:t>N/A</w:t>
            </w:r>
          </w:p>
        </w:tc>
        <w:tc>
          <w:tcPr>
            <w:tcW w:type="dxa" w:w="1728"/>
          </w:tcPr>
          <w:p>
            <w:r>
              <w:rPr>
                <w:rFonts w:ascii="Calibri" w:hAnsi="Calibri"/>
                <w:sz w:val="22"/>
              </w:rPr>
              <w:t>Closed ahead of Q3 end; $200M above original $1.2B price due to purchase price adjustments and interest. EPS dilution of low-single-digits expected.</w:t>
            </w:r>
          </w:p>
        </w:tc>
      </w:tr>
    </w:tbl>
    <w:p>
      <w:r>
        <w:rPr>
          <w:rFonts w:ascii="Calibri" w:hAnsi="Calibri"/>
          <w:i/>
          <w:color w:val="525866"/>
          <w:sz w:val="22"/>
        </w:rPr>
        <w:t>Source: eBay Q1 2026 Earnings Release and Transcript (April 29, 2026); Etsy 8-K / Press Release (July 30, 2026) — Depop Sale Completion Announcement.</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GMV and revenue consensus are essentially unchanged, while EPS has drifted slightly lower. The lack of upward revision despite a strong Q1 beat suggests the Street is treating the Q2 deceleration as real, not sandbagging, which keeps the bar achievable but not easy.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as of May 6, 2026 (+5 Days Post Q1 Print)</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GMV — Q2 2026</w:t>
            </w:r>
          </w:p>
        </w:tc>
        <w:tc>
          <w:tcPr>
            <w:tcW w:type="dxa" w:w="1080"/>
          </w:tcPr>
          <w:p>
            <w:r>
              <w:rPr>
                <w:rFonts w:ascii="Calibri" w:hAnsi="Calibri"/>
                <w:sz w:val="22"/>
              </w:rPr>
              <w:t>$21.58B</w:t>
            </w:r>
          </w:p>
        </w:tc>
        <w:tc>
          <w:tcPr>
            <w:tcW w:type="dxa" w:w="1080"/>
          </w:tcPr>
          <w:p>
            <w:r>
              <w:rPr>
                <w:rFonts w:ascii="Calibri" w:hAnsi="Calibri"/>
                <w:sz w:val="22"/>
              </w:rPr>
              <w:t>$21.58B</w:t>
            </w:r>
          </w:p>
        </w:tc>
        <w:tc>
          <w:tcPr>
            <w:tcW w:type="dxa" w:w="1080"/>
          </w:tcPr>
          <w:p>
            <w:r>
              <w:rPr>
                <w:rFonts w:ascii="Calibri" w:hAnsi="Calibri"/>
                <w:sz w:val="22"/>
              </w:rPr>
              <w:t>0.0%</w:t>
            </w:r>
          </w:p>
        </w:tc>
        <w:tc>
          <w:tcPr>
            <w:tcW w:type="dxa" w:w="1080"/>
          </w:tcPr>
          <w:p>
            <w:r>
              <w:rPr>
                <w:rFonts w:ascii="Calibri" w:hAnsi="Calibri"/>
                <w:sz w:val="22"/>
              </w:rPr>
              <w:t>$21.3B – $21.7B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$21.5B mid</w:t>
            </w:r>
          </w:p>
        </w:tc>
      </w:tr>
      <w:tr>
        <w:tc>
          <w:tcPr>
            <w:tcW w:type="dxa" w:w="1080"/>
          </w:tcPr>
          <w:p>
            <w:r>
              <w:rPr>
                <w:rFonts w:ascii="Calibri" w:hAnsi="Calibri"/>
                <w:sz w:val="22"/>
              </w:rPr>
              <w:t>GMV — FY 2026</w:t>
            </w:r>
          </w:p>
        </w:tc>
        <w:tc>
          <w:tcPr>
            <w:tcW w:type="dxa" w:w="1080"/>
          </w:tcPr>
          <w:p>
            <w:r>
              <w:rPr>
                <w:rFonts w:ascii="Calibri" w:hAnsi="Calibri"/>
                <w:sz w:val="22"/>
              </w:rPr>
              <w:t>$86.95B</w:t>
            </w:r>
          </w:p>
        </w:tc>
        <w:tc>
          <w:tcPr>
            <w:tcW w:type="dxa" w:w="1080"/>
          </w:tcPr>
          <w:p>
            <w:r>
              <w:rPr>
                <w:rFonts w:ascii="Calibri" w:hAnsi="Calibri"/>
                <w:sz w:val="22"/>
              </w:rPr>
              <w:t>$87.01B</w:t>
            </w:r>
          </w:p>
        </w:tc>
        <w:tc>
          <w:tcPr>
            <w:tcW w:type="dxa" w:w="1080"/>
          </w:tcPr>
          <w:p>
            <w:r>
              <w:rPr>
                <w:rFonts w:ascii="Calibri" w:hAnsi="Calibri"/>
                <w:sz w:val="22"/>
              </w:rPr>
              <w:t>+0.1%</w:t>
            </w:r>
          </w:p>
        </w:tc>
        <w:tc>
          <w:tcPr>
            <w:tcW w:type="dxa" w:w="1080"/>
          </w:tcPr>
          <w:p>
            <w:r>
              <w:rPr>
                <w:rFonts w:ascii="Calibri" w:hAnsi="Calibri"/>
                <w:sz w:val="22"/>
              </w:rPr>
              <w:t>FX-neutral +7% to +7.5%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 range</w:t>
            </w:r>
          </w:p>
        </w:tc>
      </w:tr>
      <w:tr>
        <w:tc>
          <w:tcPr>
            <w:tcW w:type="dxa" w:w="1080"/>
          </w:tcPr>
          <w:p>
            <w:r>
              <w:rPr>
                <w:rFonts w:ascii="Calibri" w:hAnsi="Calibri"/>
                <w:sz w:val="22"/>
              </w:rPr>
              <w:t>Net Revenue — Q2 2026</w:t>
            </w:r>
          </w:p>
        </w:tc>
        <w:tc>
          <w:tcPr>
            <w:tcW w:type="dxa" w:w="1080"/>
          </w:tcPr>
          <w:p>
            <w:r>
              <w:rPr>
                <w:rFonts w:ascii="Calibri" w:hAnsi="Calibri"/>
                <w:sz w:val="22"/>
              </w:rPr>
              <w:t>$3.019B</w:t>
            </w:r>
          </w:p>
        </w:tc>
        <w:tc>
          <w:tcPr>
            <w:tcW w:type="dxa" w:w="1080"/>
          </w:tcPr>
          <w:p>
            <w:r>
              <w:rPr>
                <w:rFonts w:ascii="Calibri" w:hAnsi="Calibri"/>
                <w:sz w:val="22"/>
              </w:rPr>
              <w:t>$3.022B</w:t>
            </w:r>
          </w:p>
        </w:tc>
        <w:tc>
          <w:tcPr>
            <w:tcW w:type="dxa" w:w="1080"/>
          </w:tcPr>
          <w:p>
            <w:r>
              <w:rPr>
                <w:rFonts w:ascii="Calibri" w:hAnsi="Calibri"/>
                <w:sz w:val="22"/>
              </w:rPr>
              <w:t>+0.1%</w:t>
            </w:r>
          </w:p>
        </w:tc>
        <w:tc>
          <w:tcPr>
            <w:tcW w:type="dxa" w:w="1080"/>
          </w:tcPr>
          <w:p>
            <w:r>
              <w:rPr>
                <w:rFonts w:ascii="Calibri" w:hAnsi="Calibri"/>
                <w:sz w:val="22"/>
              </w:rPr>
              <w:t>$2.97B – $3.03B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$3.00B mid</w:t>
            </w:r>
          </w:p>
        </w:tc>
      </w:tr>
      <w:tr>
        <w:tc>
          <w:tcPr>
            <w:tcW w:type="dxa" w:w="1080"/>
          </w:tcPr>
          <w:p>
            <w:r>
              <w:rPr>
                <w:rFonts w:ascii="Calibri" w:hAnsi="Calibri"/>
                <w:sz w:val="22"/>
              </w:rPr>
              <w:t>Net Revenue — FY 2026</w:t>
            </w:r>
          </w:p>
        </w:tc>
        <w:tc>
          <w:tcPr>
            <w:tcW w:type="dxa" w:w="1080"/>
          </w:tcPr>
          <w:p>
            <w:r>
              <w:rPr>
                <w:rFonts w:ascii="Calibri" w:hAnsi="Calibri"/>
                <w:sz w:val="22"/>
              </w:rPr>
              <w:t>$12.171B</w:t>
            </w:r>
          </w:p>
        </w:tc>
        <w:tc>
          <w:tcPr>
            <w:tcW w:type="dxa" w:w="1080"/>
          </w:tcPr>
          <w:p>
            <w:r>
              <w:rPr>
                <w:rFonts w:ascii="Calibri" w:hAnsi="Calibri"/>
                <w:sz w:val="22"/>
              </w:rPr>
              <w:t>$12.183B</w:t>
            </w:r>
          </w:p>
        </w:tc>
        <w:tc>
          <w:tcPr>
            <w:tcW w:type="dxa" w:w="1080"/>
          </w:tcPr>
          <w:p>
            <w:r>
              <w:rPr>
                <w:rFonts w:ascii="Calibri" w:hAnsi="Calibri"/>
                <w:sz w:val="22"/>
              </w:rPr>
              <w:t>+0.1%</w:t>
            </w:r>
          </w:p>
        </w:tc>
        <w:tc>
          <w:tcPr>
            <w:tcW w:type="dxa" w:w="1080"/>
          </w:tcPr>
          <w:p>
            <w:r>
              <w:rPr>
                <w:rFonts w:ascii="Calibri" w:hAnsi="Calibri"/>
                <w:sz w:val="22"/>
              </w:rPr>
              <w:t>In line to slightly ahead of GMV growth (FX-neutral)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Non-GAAP EPS — Q2 2026</w:t>
            </w:r>
          </w:p>
        </w:tc>
        <w:tc>
          <w:tcPr>
            <w:tcW w:type="dxa" w:w="1080"/>
          </w:tcPr>
          <w:p>
            <w:r>
              <w:rPr>
                <w:rFonts w:ascii="Calibri" w:hAnsi="Calibri"/>
                <w:sz w:val="22"/>
              </w:rPr>
              <w:t>$1.508</w:t>
            </w:r>
          </w:p>
        </w:tc>
        <w:tc>
          <w:tcPr>
            <w:tcW w:type="dxa" w:w="1080"/>
          </w:tcPr>
          <w:p>
            <w:r>
              <w:rPr>
                <w:rFonts w:ascii="Calibri" w:hAnsi="Calibri"/>
                <w:sz w:val="22"/>
              </w:rPr>
              <w:t>$1.506</w:t>
            </w:r>
          </w:p>
        </w:tc>
        <w:tc>
          <w:tcPr>
            <w:tcW w:type="dxa" w:w="1080"/>
          </w:tcPr>
          <w:p>
            <w:r>
              <w:rPr>
                <w:rFonts w:ascii="Calibri" w:hAnsi="Calibri"/>
                <w:sz w:val="22"/>
              </w:rPr>
              <w:t>-0.1%</w:t>
            </w:r>
          </w:p>
        </w:tc>
        <w:tc>
          <w:tcPr>
            <w:tcW w:type="dxa" w:w="1080"/>
          </w:tcPr>
          <w:p>
            <w:r>
              <w:rPr>
                <w:rFonts w:ascii="Calibri" w:hAnsi="Calibri"/>
                <w:sz w:val="22"/>
              </w:rPr>
              <w:t>$1.46 – $1.51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vs. $1.485 mid; at top of range</w:t>
            </w:r>
          </w:p>
        </w:tc>
      </w:tr>
      <w:tr>
        <w:tc>
          <w:tcPr>
            <w:tcW w:type="dxa" w:w="1080"/>
          </w:tcPr>
          <w:p>
            <w:r>
              <w:rPr>
                <w:rFonts w:ascii="Calibri" w:hAnsi="Calibri"/>
                <w:sz w:val="22"/>
              </w:rPr>
              <w:t>Non-GAAP EPS — FY 2026</w:t>
            </w:r>
          </w:p>
        </w:tc>
        <w:tc>
          <w:tcPr>
            <w:tcW w:type="dxa" w:w="1080"/>
          </w:tcPr>
          <w:p>
            <w:r>
              <w:rPr>
                <w:rFonts w:ascii="Calibri" w:hAnsi="Calibri"/>
                <w:sz w:val="22"/>
              </w:rPr>
              <w:t>$6.120</w:t>
            </w:r>
          </w:p>
        </w:tc>
        <w:tc>
          <w:tcPr>
            <w:tcW w:type="dxa" w:w="1080"/>
          </w:tcPr>
          <w:p>
            <w:r>
              <w:rPr>
                <w:rFonts w:ascii="Calibri" w:hAnsi="Calibri"/>
                <w:sz w:val="22"/>
              </w:rPr>
              <w:t>$6.118</w:t>
            </w:r>
          </w:p>
        </w:tc>
        <w:tc>
          <w:tcPr>
            <w:tcW w:type="dxa" w:w="1080"/>
          </w:tcPr>
          <w:p>
            <w:r>
              <w:rPr>
                <w:rFonts w:ascii="Calibri" w:hAnsi="Calibri"/>
                <w:sz w:val="22"/>
              </w:rPr>
              <w:t>0.0%</w:t>
            </w:r>
          </w:p>
        </w:tc>
        <w:tc>
          <w:tcPr>
            <w:tcW w:type="dxa" w:w="1080"/>
          </w:tcPr>
          <w:p>
            <w:r>
              <w:rPr>
                <w:rFonts w:ascii="Calibri" w:hAnsi="Calibri"/>
                <w:sz w:val="22"/>
              </w:rPr>
              <w:t>Relatively in line with operating income growth (9%–11%)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Advertising Revenue — Q2 2026</w:t>
            </w:r>
          </w:p>
        </w:tc>
        <w:tc>
          <w:tcPr>
            <w:tcW w:type="dxa" w:w="1080"/>
          </w:tcPr>
          <w:p>
            <w:r>
              <w:rPr>
                <w:rFonts w:ascii="Calibri" w:hAnsi="Calibri"/>
                <w:sz w:val="22"/>
              </w:rPr>
              <w:t>$574M</w:t>
            </w:r>
          </w:p>
        </w:tc>
        <w:tc>
          <w:tcPr>
            <w:tcW w:type="dxa" w:w="1080"/>
          </w:tcPr>
          <w:p>
            <w:r>
              <w:rPr>
                <w:rFonts w:ascii="Calibri" w:hAnsi="Calibri"/>
                <w:sz w:val="22"/>
              </w:rPr>
              <w:t>$575M</w:t>
            </w:r>
          </w:p>
        </w:tc>
        <w:tc>
          <w:tcPr>
            <w:tcW w:type="dxa" w:w="1080"/>
          </w:tcPr>
          <w:p>
            <w:r>
              <w:rPr>
                <w:rFonts w:ascii="Calibri" w:hAnsi="Calibri"/>
                <w:sz w:val="22"/>
              </w:rPr>
              <w:t>+0.2%</w:t>
            </w:r>
          </w:p>
        </w:tc>
        <w:tc>
          <w:tcPr>
            <w:tcW w:type="dxa" w:w="1080"/>
          </w:tcPr>
          <w:p>
            <w:r>
              <w:rPr>
                <w:rFonts w:ascii="Calibri" w:hAnsi="Calibri"/>
                <w:sz w:val="22"/>
              </w:rPr>
              <w:t>“Healthy” growth; outpacing GMV</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guide)</w:t>
            </w:r>
          </w:p>
        </w:tc>
      </w:tr>
    </w:tbl>
    <w:p>
      <w:r>
        <w:rPr>
          <w:rFonts w:ascii="Calibri" w:hAnsi="Calibri"/>
          <w:i/>
          <w:color w:val="525866"/>
          <w:sz w:val="22"/>
        </w:rPr>
        <w:t>Source: Visible Alpha Consensus and Actuals Data (all consensus figures); eBay Q1 2026 Earnings Transcript (guidance). Baseline “May 6, 2026” represents consensus as of 5 trading days post Q1 print.</w:t>
      </w:r>
    </w:p>
    <w:p>
      <w:r>
        <w:rPr>
          <w:rFonts w:ascii="Calibri" w:hAnsi="Calibri"/>
          <w:color w:val="525866"/>
          <w:sz w:val="22"/>
        </w:rPr>
        <w:t>Estimates have been essentially frozen since the Q1 print, tracking guidance almost exactly. The absence of upward revision despite a strong Q1 beat reflects the Street’s acceptance of management’s deceleration narrative. The Depop closing (July 30) has not yet been incorporated into consensus, creating a potential source of noise in Q2 results and FY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EBAY has outperformed the S&amp;P 500 since the Q1 print but lagged XLY (Consumer Discretionary ETF) over the same period, with the stock’s +10% gain driven primarily by </w:t>
      </w:r>
      <w:r>
        <w:rPr>
          <w:rFonts w:ascii="Calibri" w:hAnsi="Calibri"/>
          <w:b/>
          <w:color w:val="525866"/>
          <w:sz w:val="22"/>
        </w:rPr>
        <w:t>multiple expansion</w:t>
      </w:r>
      <w:r>
        <w:rPr>
          <w:rFonts w:ascii="Calibri" w:hAnsi="Calibri"/>
          <w:color w:val="525866"/>
          <w:sz w:val="22"/>
        </w:rPr>
        <w:t xml:space="preserve"> rather than estimate revisions (which were flat). The stock pulled back ~6% from its late-July peak heading into earnings, suggesting some pre-print caution.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EBAY vs. XLY (Consumer Discretionary ETF) vs. S&amp;P 500 — Indexed to 100 at April 29, 2026 (Q1 2026 Earnings Date). Source: Yahoo Finance / Stock Price Data.</w:t>
      </w:r>
    </w:p>
    <w:p>
      <w:r>
        <w:rPr>
          <w:rFonts w:ascii="Calibri" w:hAnsi="Calibri"/>
          <w:color w:val="525866"/>
          <w:sz w:val="22"/>
        </w:rPr>
        <w:t>Since the Q1 2026 earnings print on April 29, 2026, EBAY rose from $103.79 to a peak of ~$117.44 on July 28 before pulling back to ~$107–$110 in early August. The stock’s 12-month performance of +19.5% has been driven by a combination of modest multiple expansion (+2.1% on EV/EBITDA over 12 months) and earnings growth, with the NTM P/E now at ~16.4x vs. ~15.8x a year ago. Over the 3-month window, the stock is essentially flat (+0.3%), with multiple expansion (+1.4% on EV/EBITDA) offsetting modest estimate drift. The XLY ETF has been a weaker benchmark — EBAY has outperformed the consumer discretionary sector since the Q1 print, reflecting idiosyncratic GMV acceleration and focus category momentum. Key events marked: the GameStop acquisition proposal disclosure (May 5–12) briefly boosted sentiment, while the $56M harassment settlement (July 28) and Depop closing (July 30) were largely non-events for the stock.</w:t>
      </w:r>
    </w:p>
    <w:p>
      <w:r>
        <w:rPr>
          <w:rFonts w:ascii="Calibri" w:hAnsi="Calibri"/>
          <w:i/>
          <w:color w:val="525866"/>
          <w:sz w:val="22"/>
        </w:rPr>
        <w:t>Source: Yahoo Finance / Stock Price Data (EBAY, XLY, SPY close prices April 29 – August 5, 2026).</w:t>
      </w:r>
    </w:p>
    <w:p>
      <w:r>
        <w:br w:type="page"/>
      </w:r>
    </w:p>
    <w:p>
      <w:pPr>
        <w:pStyle w:val="Heading2"/>
      </w:pPr>
      <w:r>
        <w:rPr>
          <w:rFonts w:ascii="Calibri" w:hAnsi="Calibri"/>
          <w:b/>
          <w:color w:val="3B4259"/>
          <w:sz w:val="28"/>
        </w:rPr>
        <w:t>6. Peer Commentaries &amp; Read-Throughs (Last 60 Days)</w:t>
      </w:r>
    </w:p>
    <w:p>
      <w:r>
        <w:rPr>
          <w:rFonts w:ascii="Calibri" w:hAnsi="Calibri"/>
          <w:b/>
          <w:color w:val="525866"/>
          <w:sz w:val="22"/>
        </w:rPr>
        <w:t xml:space="preserve">Key Takeaway: </w:t>
      </w:r>
      <w:r>
        <w:rPr>
          <w:rFonts w:ascii="Calibri" w:hAnsi="Calibri"/>
          <w:color w:val="525866"/>
          <w:sz w:val="22"/>
        </w:rPr>
        <w:t xml:space="preserve">Amazon’s Q2 2026 results (reported July 30) and Wayfair’s Q2 2026 results (reported August 4) both point to a </w:t>
      </w:r>
      <w:r>
        <w:rPr>
          <w:rFonts w:ascii="Calibri" w:hAnsi="Calibri"/>
          <w:b/>
          <w:color w:val="525866"/>
          <w:sz w:val="22"/>
        </w:rPr>
        <w:t>healthier-than-feared U.S. online retail environment</w:t>
      </w:r>
      <w:r>
        <w:rPr>
          <w:rFonts w:ascii="Calibri" w:hAnsi="Calibri"/>
          <w:color w:val="525866"/>
          <w:sz w:val="22"/>
        </w:rPr>
        <w:t xml:space="preserve"> heading into eBay’s print, with consumers actively shopping online and advertising markets robust. However, both peers operate in structurally different categories and business models, limiting direct read-through.</w:t>
      </w:r>
    </w:p>
    <w:p>
      <w:r>
        <w:rPr>
          <w:rFonts w:ascii="Calibri" w:hAnsi="Calibri"/>
          <w:b/>
          <w:color w:val="525866"/>
          <w:sz w:val="22"/>
        </w:rPr>
        <w:t xml:space="preserve">Note on scope: </w:t>
      </w:r>
      <w:r>
        <w:rPr>
          <w:rFonts w:ascii="Calibri" w:hAnsi="Calibri"/>
          <w:i/>
          <w:color w:val="525866"/>
          <w:sz w:val="22"/>
        </w:rPr>
        <w:t>Only commentary from peers reporting their own Q2 2026 results (calendar quarter ended June 30, 2026) is included below. Retrospective commentary about prior quarters or pre-Q2 analyst notes have been excluded.</w:t>
      </w:r>
    </w:p>
    <w:p>
      <w:pPr>
        <w:pStyle w:val="Heading3"/>
      </w:pPr>
      <w:r>
        <w:rPr>
          <w:rFonts w:ascii="Calibri" w:hAnsi="Calibri"/>
          <w:b/>
          <w:color w:val="3B4259"/>
          <w:sz w:val="24"/>
        </w:rPr>
        <w:t>6.1 Amazon (AMZN) — Q2 2026 Results (Reported July 30, 2026)</w:t>
      </w:r>
    </w:p>
    <w:p>
      <w:r>
        <w:rPr>
          <w:rFonts w:ascii="Calibri" w:hAnsi="Calibri"/>
          <w:color w:val="525866"/>
          <w:sz w:val="22"/>
        </w:rPr>
        <w:t>Amazon reported a blowout Q2 2026: revenue of $200.6B (+20% YoY), operating income of $27.5B (+43% YoY, vs. consensus $23.6B), and AWS growth of 37% constant-currency (vs. consensus ~31%). Online store revenue grew 15% YoY to over $70B. The company raised its 2026 capex guidance to $220B from $200B, citing higher memory costs and insatiable AI demand. Q3 net sales guidance of $197B–$202B was below consensus of ~$204B, primarily due to Prime Day timing shift from Q3 2025 to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Theme</w:t>
            </w:r>
          </w:p>
        </w:tc>
        <w:tc>
          <w:tcPr>
            <w:tcW w:type="dxa" w:w="2160"/>
            <w:shd w:val="clear" w:color="auto" w:fill="3B4259"/>
          </w:tcPr>
          <w:p>
            <w:r>
              <w:rPr>
                <w:rFonts w:ascii="Calibri" w:hAnsi="Calibri"/>
                <w:b/>
                <w:color w:val="FFFFFF"/>
                <w:sz w:val="22"/>
              </w:rPr>
              <w:t>Amazon Commentary (Q2 2026)</w:t>
            </w:r>
          </w:p>
        </w:tc>
        <w:tc>
          <w:tcPr>
            <w:tcW w:type="dxa" w:w="2160"/>
            <w:shd w:val="clear" w:color="auto" w:fill="3B4259"/>
          </w:tcPr>
          <w:p>
            <w:r>
              <w:rPr>
                <w:rFonts w:ascii="Calibri" w:hAnsi="Calibri"/>
                <w:b/>
                <w:color w:val="FFFFFF"/>
                <w:sz w:val="22"/>
              </w:rPr>
              <w:t>Implication for EBAY</w:t>
            </w:r>
          </w:p>
        </w:tc>
        <w:tc>
          <w:tcPr>
            <w:tcW w:type="dxa" w:w="2160"/>
            <w:shd w:val="clear" w:color="auto" w:fill="3B4259"/>
          </w:tcPr>
          <w:p>
            <w:r>
              <w:rPr>
                <w:rFonts w:ascii="Calibri" w:hAnsi="Calibri"/>
                <w:b/>
                <w:color w:val="FFFFFF"/>
                <w:sz w:val="22"/>
              </w:rPr>
              <w:t>Validity</w:t>
            </w:r>
          </w:p>
        </w:tc>
      </w:tr>
      <w:tr>
        <w:tc>
          <w:tcPr>
            <w:tcW w:type="dxa" w:w="2160"/>
          </w:tcPr>
          <w:p>
            <w:r>
              <w:rPr>
                <w:rFonts w:ascii="Calibri" w:hAnsi="Calibri"/>
                <w:sz w:val="22"/>
              </w:rPr>
              <w:t>U.S. Online Retail Demand</w:t>
            </w:r>
          </w:p>
        </w:tc>
        <w:tc>
          <w:tcPr>
            <w:tcW w:type="dxa" w:w="2160"/>
          </w:tcPr>
          <w:p>
            <w:r>
              <w:rPr>
                <w:rFonts w:ascii="Calibri" w:hAnsi="Calibri"/>
                <w:sz w:val="22"/>
              </w:rPr>
              <w:t>Online store revenue +15% YoY; worldwide paid units +17% YoY; “strong customer engagement, growth and a continuation of the trends” heading into Q3 even after adjusting for Prime Day timing.</w:t>
            </w:r>
          </w:p>
        </w:tc>
        <w:tc>
          <w:tcPr>
            <w:tcW w:type="dxa" w:w="2160"/>
          </w:tcPr>
          <w:p>
            <w:r>
              <w:rPr>
                <w:rFonts w:ascii="Calibri" w:hAnsi="Calibri"/>
                <w:sz w:val="22"/>
              </w:rPr>
              <w:t>Positive: Suggests U.S. e-commerce demand remained healthy in Q2, consistent with eBay’s own Q1 commentary that U.S. buyer growth accelerated to ~6% YoY. Supports eBay’s GMV guidance being achievable.</w:t>
            </w:r>
          </w:p>
        </w:tc>
        <w:tc>
          <w:tcPr>
            <w:tcW w:type="dxa" w:w="2160"/>
          </w:tcPr>
          <w:p>
            <w:r>
              <w:rPr>
                <w:rFonts w:ascii="Calibri" w:hAnsi="Calibri"/>
                <w:b/>
                <w:sz w:val="22"/>
              </w:rPr>
              <w:t>Moderate</w:t>
            </w:r>
            <w:r>
              <w:rPr>
                <w:rFonts w:ascii="Calibri" w:hAnsi="Calibri"/>
                <w:sz w:val="22"/>
              </w:rPr>
              <w:t xml:space="preserve"> — Amazon’s first-party retail model and Prime ecosystem are structurally different from eBay’s pure-play marketplace.</w:t>
            </w:r>
          </w:p>
        </w:tc>
      </w:tr>
      <w:tr>
        <w:tc>
          <w:tcPr>
            <w:tcW w:type="dxa" w:w="2160"/>
          </w:tcPr>
          <w:p>
            <w:r>
              <w:rPr>
                <w:rFonts w:ascii="Calibri" w:hAnsi="Calibri"/>
                <w:sz w:val="22"/>
              </w:rPr>
              <w:t>Digital Advertising Market</w:t>
            </w:r>
          </w:p>
        </w:tc>
        <w:tc>
          <w:tcPr>
            <w:tcW w:type="dxa" w:w="2160"/>
          </w:tcPr>
          <w:p>
            <w:r>
              <w:rPr>
                <w:rFonts w:ascii="Calibri" w:hAnsi="Calibri"/>
                <w:sz w:val="22"/>
              </w:rPr>
              <w:t>Amazon Ads revenue +26% YoY to $19.8B; sponsored products remain the largest driver; AI-powered ad tools driving 8% lower CPM and 6% lower CPA.</w:t>
            </w:r>
          </w:p>
        </w:tc>
        <w:tc>
          <w:tcPr>
            <w:tcW w:type="dxa" w:w="2160"/>
          </w:tcPr>
          <w:p>
            <w:r>
              <w:rPr>
                <w:rFonts w:ascii="Calibri" w:hAnsi="Calibri"/>
                <w:sz w:val="22"/>
              </w:rPr>
              <w:t>Positive: A healthy digital advertising market benefits eBay’s first-party advertising business (1P ads grew 28% FX-neutral in Q1). Seller adoption and AI-driven ad relevance improvements are shared tailwinds.</w:t>
            </w:r>
          </w:p>
        </w:tc>
        <w:tc>
          <w:tcPr>
            <w:tcW w:type="dxa" w:w="2160"/>
          </w:tcPr>
          <w:p>
            <w:r>
              <w:rPr>
                <w:rFonts w:ascii="Calibri" w:hAnsi="Calibri"/>
                <w:b/>
                <w:sz w:val="22"/>
              </w:rPr>
              <w:t>Moderate</w:t>
            </w:r>
            <w:r>
              <w:rPr>
                <w:rFonts w:ascii="Calibri" w:hAnsi="Calibri"/>
                <w:sz w:val="22"/>
              </w:rPr>
              <w:t xml:space="preserve"> — eBay’s ad business is smaller and more marketplace-specific; Amazon’s scale and Prime Video inventory are not comparable.</w:t>
            </w:r>
          </w:p>
        </w:tc>
      </w:tr>
      <w:tr>
        <w:tc>
          <w:tcPr>
            <w:tcW w:type="dxa" w:w="2160"/>
          </w:tcPr>
          <w:p>
            <w:r>
              <w:rPr>
                <w:rFonts w:ascii="Calibri" w:hAnsi="Calibri"/>
                <w:sz w:val="22"/>
              </w:rPr>
              <w:t>Tariff / Trade Policy Impact</w:t>
            </w:r>
          </w:p>
        </w:tc>
        <w:tc>
          <w:tcPr>
            <w:tcW w:type="dxa" w:w="2160"/>
          </w:tcPr>
          <w:p>
            <w:r>
              <w:rPr>
                <w:rFonts w:ascii="Calibri" w:hAnsi="Calibri"/>
                <w:sz w:val="22"/>
              </w:rPr>
              <w:t>Amazon received ~$600M in tariff refunds in Q2 (following Supreme Court ruling on Trump tariff legality); largely absorbed tariff costs rather than passing to customers; will return some refunds to shoppers.</w:t>
            </w:r>
          </w:p>
        </w:tc>
        <w:tc>
          <w:tcPr>
            <w:tcW w:type="dxa" w:w="2160"/>
          </w:tcPr>
          <w:p>
            <w:r>
              <w:rPr>
                <w:rFonts w:ascii="Calibri" w:hAnsi="Calibri"/>
                <w:sz w:val="22"/>
              </w:rPr>
              <w:t>Neutral-to-Positive: Amazon’s ability to absorb tariff costs and reinvest in lower prices could pressure eBay’s sellers on pricing competitiveness. However, eBay’s cross-border shipping solutions (EIS, Speed Pack) have already been scaling, and management noted resilient U.S. consumer demand despite trade volatility.</w:t>
            </w:r>
          </w:p>
        </w:tc>
        <w:tc>
          <w:tcPr>
            <w:tcW w:type="dxa" w:w="2160"/>
          </w:tcPr>
          <w:p>
            <w:r>
              <w:rPr>
                <w:rFonts w:ascii="Calibri" w:hAnsi="Calibri"/>
                <w:b/>
                <w:sz w:val="22"/>
              </w:rPr>
              <w:t>Limited</w:t>
            </w:r>
            <w:r>
              <w:rPr>
                <w:rFonts w:ascii="Calibri" w:hAnsi="Calibri"/>
                <w:sz w:val="22"/>
              </w:rPr>
              <w:t xml:space="preserve"> — eBay’s seller base (mostly SMBs and individuals) has less flexibility to absorb tariff costs than Amazon’s first-party inventory.</w:t>
            </w:r>
          </w:p>
        </w:tc>
      </w:tr>
      <w:tr>
        <w:tc>
          <w:tcPr>
            <w:tcW w:type="dxa" w:w="2160"/>
          </w:tcPr>
          <w:p>
            <w:r>
              <w:rPr>
                <w:rFonts w:ascii="Calibri" w:hAnsi="Calibri"/>
                <w:sz w:val="22"/>
              </w:rPr>
              <w:t>Value-Seeking Consumer Behavior</w:t>
            </w:r>
          </w:p>
        </w:tc>
        <w:tc>
          <w:tcPr>
            <w:tcW w:type="dxa" w:w="2160"/>
          </w:tcPr>
          <w:p>
            <w:r>
              <w:rPr>
                <w:rFonts w:ascii="Calibri" w:hAnsi="Calibri"/>
                <w:sz w:val="22"/>
              </w:rPr>
              <w:t>Amazon expanded ultra-low price selection on Amazon Haul to 6M+ items under $10 (20x since launch); product prices on average 14% below other retailers per third-party research.</w:t>
            </w:r>
          </w:p>
        </w:tc>
        <w:tc>
          <w:tcPr>
            <w:tcW w:type="dxa" w:w="2160"/>
          </w:tcPr>
          <w:p>
            <w:r>
              <w:rPr>
                <w:rFonts w:ascii="Calibri" w:hAnsi="Calibri"/>
                <w:sz w:val="22"/>
              </w:rPr>
              <w:t>Mixed: Consumer focus on value plays to eBay’s strengths in used, refurbished, and collectibles. However, Amazon’s aggressive pricing on new goods could divert some discretionary spend.</w:t>
            </w:r>
          </w:p>
        </w:tc>
        <w:tc>
          <w:tcPr>
            <w:tcW w:type="dxa" w:w="2160"/>
          </w:tcPr>
          <w:p>
            <w:r>
              <w:rPr>
                <w:rFonts w:ascii="Calibri" w:hAnsi="Calibri"/>
                <w:b/>
                <w:sz w:val="22"/>
              </w:rPr>
              <w:t>Moderate</w:t>
            </w:r>
            <w:r>
              <w:rPr>
                <w:rFonts w:ascii="Calibri" w:hAnsi="Calibri"/>
                <w:sz w:val="22"/>
              </w:rPr>
              <w:t xml:space="preserve"> — eBay competes on unique/hard-to-find inventory, not commodity pricing.</w:t>
            </w:r>
          </w:p>
        </w:tc>
      </w:tr>
    </w:tbl>
    <w:p>
      <w:r>
        <w:rPr>
          <w:rFonts w:ascii="Calibri" w:hAnsi="Calibri"/>
          <w:i/>
          <w:color w:val="525866"/>
          <w:sz w:val="22"/>
        </w:rPr>
        <w:t>Source: Amazon Q2 2026 Earnings Call Transcript and Earnings Release (July 30, 2026).</w:t>
      </w:r>
    </w:p>
    <w:p>
      <w:pPr>
        <w:pStyle w:val="Heading3"/>
      </w:pPr>
      <w:r>
        <w:rPr>
          <w:rFonts w:ascii="Calibri" w:hAnsi="Calibri"/>
          <w:b/>
          <w:color w:val="3B4259"/>
          <w:sz w:val="24"/>
        </w:rPr>
        <w:t>6.2 Wayfair (W) — Q2 2026 Results (Reported August 4, 2026)</w:t>
      </w:r>
    </w:p>
    <w:p>
      <w:r>
        <w:rPr>
          <w:rFonts w:ascii="Calibri" w:hAnsi="Calibri"/>
          <w:color w:val="525866"/>
          <w:sz w:val="22"/>
        </w:rPr>
        <w:t>Wayfair reported Q2 2026 revenue of $3.51B (+7.5% YoY, vs. consensus $3.47B), EPS of $0.95 (vs. consensus $0.92), and free cash flow of $301M (vs. consensus $267M). U.S. revenue grew ~9% YoY — the best post-COVID performance — driven by order growth of 6% and AOV growth of 1.2%. Active customers grew 3%+ YoY. The luxury brand Perigold grew &gt;35% YoY and now generates over $400M in annualized sales. Q3 guidance calls for “high single-digit” revenue growth. Shares surged ~20% on the day.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Read-Through Theme</w:t>
            </w:r>
          </w:p>
        </w:tc>
        <w:tc>
          <w:tcPr>
            <w:tcW w:type="dxa" w:w="2160"/>
            <w:shd w:val="clear" w:color="auto" w:fill="3B4259"/>
          </w:tcPr>
          <w:p>
            <w:r>
              <w:rPr>
                <w:rFonts w:ascii="Calibri" w:hAnsi="Calibri"/>
                <w:b/>
                <w:color w:val="FFFFFF"/>
                <w:sz w:val="22"/>
              </w:rPr>
              <w:t>Wayfair Commentary (Q2 2026)</w:t>
            </w:r>
          </w:p>
        </w:tc>
        <w:tc>
          <w:tcPr>
            <w:tcW w:type="dxa" w:w="2160"/>
            <w:shd w:val="clear" w:color="auto" w:fill="3B4259"/>
          </w:tcPr>
          <w:p>
            <w:r>
              <w:rPr>
                <w:rFonts w:ascii="Calibri" w:hAnsi="Calibri"/>
                <w:b/>
                <w:color w:val="FFFFFF"/>
                <w:sz w:val="22"/>
              </w:rPr>
              <w:t>Implication for EBAY</w:t>
            </w:r>
          </w:p>
        </w:tc>
        <w:tc>
          <w:tcPr>
            <w:tcW w:type="dxa" w:w="2160"/>
            <w:shd w:val="clear" w:color="auto" w:fill="3B4259"/>
          </w:tcPr>
          <w:p>
            <w:r>
              <w:rPr>
                <w:rFonts w:ascii="Calibri" w:hAnsi="Calibri"/>
                <w:b/>
                <w:color w:val="FFFFFF"/>
                <w:sz w:val="22"/>
              </w:rPr>
              <w:t>Validity</w:t>
            </w:r>
          </w:p>
        </w:tc>
      </w:tr>
      <w:tr>
        <w:tc>
          <w:tcPr>
            <w:tcW w:type="dxa" w:w="2160"/>
          </w:tcPr>
          <w:p>
            <w:r>
              <w:rPr>
                <w:rFonts w:ascii="Calibri" w:hAnsi="Calibri"/>
                <w:sz w:val="22"/>
              </w:rPr>
              <w:t>U.S. Online Discretionary Spending Recovery</w:t>
            </w:r>
          </w:p>
        </w:tc>
        <w:tc>
          <w:tcPr>
            <w:tcW w:type="dxa" w:w="2160"/>
          </w:tcPr>
          <w:p>
            <w:r>
              <w:rPr>
                <w:rFonts w:ascii="Calibri" w:hAnsi="Calibri"/>
                <w:sz w:val="22"/>
              </w:rPr>
              <w:t>Q2 2026 was “the first quarter of flat to slightly positive year-over-year category growth in the U.S. since 2021.” U.S. revenue grew ~9% YoY, the best post-COVID performance, driven by share gains rather than macro tailwinds.</w:t>
            </w:r>
          </w:p>
        </w:tc>
        <w:tc>
          <w:tcPr>
            <w:tcW w:type="dxa" w:w="2160"/>
          </w:tcPr>
          <w:p>
            <w:r>
              <w:rPr>
                <w:rFonts w:ascii="Calibri" w:hAnsi="Calibri"/>
                <w:sz w:val="22"/>
              </w:rPr>
              <w:t>Positive: A stabilizing U.S. online discretionary environment is broadly supportive of eBay’s GMV guidance. eBay’s U.S. buyer growth accelerated to ~6% in Q1; Wayfair’s data suggests the U.S. consumer remained engaged in Q2.</w:t>
            </w:r>
          </w:p>
        </w:tc>
        <w:tc>
          <w:tcPr>
            <w:tcW w:type="dxa" w:w="2160"/>
          </w:tcPr>
          <w:p>
            <w:r>
              <w:rPr>
                <w:rFonts w:ascii="Calibri" w:hAnsi="Calibri"/>
                <w:b/>
                <w:sz w:val="22"/>
              </w:rPr>
              <w:t>Moderate</w:t>
            </w:r>
            <w:r>
              <w:rPr>
                <w:rFonts w:ascii="Calibri" w:hAnsi="Calibri"/>
                <w:sz w:val="22"/>
              </w:rPr>
              <w:t xml:space="preserve"> — Wayfair is home goods/furniture; eBay’s categories (collectibles, P&amp;A, fashion, electronics) have different demand drivers.</w:t>
            </w:r>
          </w:p>
        </w:tc>
      </w:tr>
      <w:tr>
        <w:tc>
          <w:tcPr>
            <w:tcW w:type="dxa" w:w="2160"/>
          </w:tcPr>
          <w:p>
            <w:r>
              <w:rPr>
                <w:rFonts w:ascii="Calibri" w:hAnsi="Calibri"/>
                <w:sz w:val="22"/>
              </w:rPr>
              <w:t>K-Shaped Recovery / Luxury Outperformance</w:t>
            </w:r>
          </w:p>
        </w:tc>
        <w:tc>
          <w:tcPr>
            <w:tcW w:type="dxa" w:w="2160"/>
          </w:tcPr>
          <w:p>
            <w:r>
              <w:rPr>
                <w:rFonts w:ascii="Calibri" w:hAnsi="Calibri"/>
                <w:sz w:val="22"/>
              </w:rPr>
              <w:t>Specialty retail brands grew ~20% and luxury brand Perigold grew &gt;35% in Q2. Growth was “skewed towards higher-income segments.” Mass market remains “out of favor” and promotional.</w:t>
            </w:r>
          </w:p>
        </w:tc>
        <w:tc>
          <w:tcPr>
            <w:tcW w:type="dxa" w:w="2160"/>
          </w:tcPr>
          <w:p>
            <w:r>
              <w:rPr>
                <w:rFonts w:ascii="Calibri" w:hAnsi="Calibri"/>
                <w:sz w:val="22"/>
              </w:rPr>
              <w:t>Positive for eBay’s focus categories: eBay’s enthusiast buyers (high-income, high-engagement) represent 70% of GMV. Luxury and collectibles outperformance at Wayfair is consistent with eBay’s own focus category acceleration (24% growth in Q1). Trading cards, luxury fashion, and high-end P&amp;A are likely beneficiaries.</w:t>
            </w:r>
          </w:p>
        </w:tc>
        <w:tc>
          <w:tcPr>
            <w:tcW w:type="dxa" w:w="2160"/>
          </w:tcPr>
          <w:p>
            <w:r>
              <w:rPr>
                <w:rFonts w:ascii="Calibri" w:hAnsi="Calibri"/>
                <w:b/>
                <w:sz w:val="22"/>
              </w:rPr>
              <w:t>Strong</w:t>
            </w:r>
            <w:r>
              <w:rPr>
                <w:rFonts w:ascii="Calibri" w:hAnsi="Calibri"/>
                <w:sz w:val="22"/>
              </w:rPr>
              <w:t xml:space="preserve"> — Both companies are seeing high-income consumers drive disproportionate growth; eBay’s enthusiast buyer strategy is directly aligned.</w:t>
            </w:r>
          </w:p>
        </w:tc>
      </w:tr>
      <w:tr>
        <w:tc>
          <w:tcPr>
            <w:tcW w:type="dxa" w:w="2160"/>
          </w:tcPr>
          <w:p>
            <w:r>
              <w:rPr>
                <w:rFonts w:ascii="Calibri" w:hAnsi="Calibri"/>
                <w:sz w:val="22"/>
              </w:rPr>
              <w:t>Tariff Refund Impact on Pricing</w:t>
            </w:r>
          </w:p>
        </w:tc>
        <w:tc>
          <w:tcPr>
            <w:tcW w:type="dxa" w:w="2160"/>
          </w:tcPr>
          <w:p>
            <w:r>
              <w:rPr>
                <w:rFonts w:ascii="Calibri" w:hAnsi="Calibri"/>
                <w:sz w:val="22"/>
              </w:rPr>
              <w:t>Wayfair has “not seen tariff refunds affect prices in the marketplace” and does not anticipate “much implications.” Suppliers are using refund capital for new product development and deeper inventory, not price cuts.</w:t>
            </w:r>
          </w:p>
        </w:tc>
        <w:tc>
          <w:tcPr>
            <w:tcW w:type="dxa" w:w="2160"/>
          </w:tcPr>
          <w:p>
            <w:r>
              <w:rPr>
                <w:rFonts w:ascii="Calibri" w:hAnsi="Calibri"/>
                <w:sz w:val="22"/>
              </w:rPr>
              <w:t>Neutral: Suggests tariff refunds are not creating a disruptive pricing environment for online marketplaces. eBay’s sellers are unlikely to face sudden pricing pressure from tariff-related dynamics.</w:t>
            </w:r>
          </w:p>
        </w:tc>
        <w:tc>
          <w:tcPr>
            <w:tcW w:type="dxa" w:w="2160"/>
          </w:tcPr>
          <w:p>
            <w:r>
              <w:rPr>
                <w:rFonts w:ascii="Calibri" w:hAnsi="Calibri"/>
                <w:b/>
                <w:sz w:val="22"/>
              </w:rPr>
              <w:t>Moderate</w:t>
            </w:r>
            <w:r>
              <w:rPr>
                <w:rFonts w:ascii="Calibri" w:hAnsi="Calibri"/>
                <w:sz w:val="22"/>
              </w:rPr>
              <w:t xml:space="preserve"> — Wayfair has more direct supplier relationships; eBay’s fragmented seller base may behave differently.</w:t>
            </w:r>
          </w:p>
        </w:tc>
      </w:tr>
      <w:tr>
        <w:tc>
          <w:tcPr>
            <w:tcW w:type="dxa" w:w="2160"/>
          </w:tcPr>
          <w:p>
            <w:r>
              <w:rPr>
                <w:rFonts w:ascii="Calibri" w:hAnsi="Calibri"/>
                <w:sz w:val="22"/>
              </w:rPr>
              <w:t>International Weakness</w:t>
            </w:r>
          </w:p>
        </w:tc>
        <w:tc>
          <w:tcPr>
            <w:tcW w:type="dxa" w:w="2160"/>
          </w:tcPr>
          <w:p>
            <w:r>
              <w:rPr>
                <w:rFonts w:ascii="Calibri" w:hAnsi="Calibri"/>
                <w:sz w:val="22"/>
              </w:rPr>
              <w:t>Wayfair’s international segment (Canada, UK) declined 1.3% YoY, with “continued pressure on consumer sentiment and discretionary spending” in those markets.</w:t>
            </w:r>
          </w:p>
        </w:tc>
        <w:tc>
          <w:tcPr>
            <w:tcW w:type="dxa" w:w="2160"/>
          </w:tcPr>
          <w:p>
            <w:r>
              <w:rPr>
                <w:rFonts w:ascii="Calibri" w:hAnsi="Calibri"/>
                <w:sz w:val="22"/>
              </w:rPr>
              <w:t>Cautionary: eBay has significant international exposure (~50%+ of GMV). Management noted in Q1 that Europe is “more challenging” with weaker consumer confidence. Wayfair’s international weakness corroborates this risk for eBay’s international GMV.</w:t>
            </w:r>
          </w:p>
        </w:tc>
        <w:tc>
          <w:tcPr>
            <w:tcW w:type="dxa" w:w="2160"/>
          </w:tcPr>
          <w:p>
            <w:r>
              <w:rPr>
                <w:rFonts w:ascii="Calibri" w:hAnsi="Calibri"/>
                <w:b/>
                <w:sz w:val="22"/>
              </w:rPr>
              <w:t>Strong</w:t>
            </w:r>
            <w:r>
              <w:rPr>
                <w:rFonts w:ascii="Calibri" w:hAnsi="Calibri"/>
                <w:sz w:val="22"/>
              </w:rPr>
              <w:t xml:space="preserve"> — Both companies have meaningful UK/Europe exposure; Wayfair’s international softness is a direct read-through risk for eBay.</w:t>
            </w:r>
          </w:p>
        </w:tc>
      </w:tr>
      <w:tr>
        <w:tc>
          <w:tcPr>
            <w:tcW w:type="dxa" w:w="2160"/>
          </w:tcPr>
          <w:p>
            <w:r>
              <w:rPr>
                <w:rFonts w:ascii="Calibri" w:hAnsi="Calibri"/>
                <w:sz w:val="22"/>
              </w:rPr>
              <w:t>Promotional Environment</w:t>
            </w:r>
          </w:p>
        </w:tc>
        <w:tc>
          <w:tcPr>
            <w:tcW w:type="dxa" w:w="2160"/>
          </w:tcPr>
          <w:p>
            <w:r>
              <w:rPr>
                <w:rFonts w:ascii="Calibri" w:hAnsi="Calibri"/>
                <w:sz w:val="22"/>
              </w:rPr>
              <w:t>“It’s been a very promotional environment for multiple years now” in the mass market. Promotions are necessary to “get the customer’s attention.”</w:t>
            </w:r>
          </w:p>
        </w:tc>
        <w:tc>
          <w:tcPr>
            <w:tcW w:type="dxa" w:w="2160"/>
          </w:tcPr>
          <w:p>
            <w:r>
              <w:rPr>
                <w:rFonts w:ascii="Calibri" w:hAnsi="Calibri"/>
                <w:sz w:val="22"/>
              </w:rPr>
              <w:t>Neutral-to-Positive: eBay’s marketplace model (used, refurbished, collectibles) is inherently value-oriented and benefits from consumers seeking deals. A promotional environment may drive traffic to eBay’s platform.</w:t>
            </w:r>
          </w:p>
        </w:tc>
        <w:tc>
          <w:tcPr>
            <w:tcW w:type="dxa" w:w="2160"/>
          </w:tcPr>
          <w:p>
            <w:r>
              <w:rPr>
                <w:rFonts w:ascii="Calibri" w:hAnsi="Calibri"/>
                <w:b/>
                <w:sz w:val="22"/>
              </w:rPr>
              <w:t>Moderate</w:t>
            </w:r>
            <w:r>
              <w:rPr>
                <w:rFonts w:ascii="Calibri" w:hAnsi="Calibri"/>
                <w:sz w:val="22"/>
              </w:rPr>
              <w:t xml:space="preserve"> — eBay’s seller-driven pricing is different from Wayfair’s supplier-managed promotions.</w:t>
            </w:r>
          </w:p>
        </w:tc>
      </w:tr>
    </w:tbl>
    <w:p>
      <w:r>
        <w:rPr>
          <w:rFonts w:ascii="Calibri" w:hAnsi="Calibri"/>
          <w:i/>
          <w:color w:val="525866"/>
          <w:sz w:val="22"/>
        </w:rPr>
        <w:t>Source: Wayfair Q2 2026 Earnings Call Transcript and Earnings Release (August 4, 2026).</w:t>
      </w:r>
    </w:p>
    <w:p>
      <w:pPr>
        <w:pStyle w:val="Heading3"/>
      </w:pPr>
      <w:r>
        <w:rPr>
          <w:rFonts w:ascii="Calibri" w:hAnsi="Calibri"/>
          <w:b/>
          <w:color w:val="3B4259"/>
          <w:sz w:val="24"/>
        </w:rPr>
        <w:t>6.3 Depop Closing — Etsy (ETSY) Announcement (July 30, 2026)</w:t>
      </w:r>
    </w:p>
    <w:p>
      <w:r>
        <w:rPr>
          <w:rFonts w:ascii="Calibri" w:hAnsi="Calibri"/>
          <w:color w:val="525866"/>
          <w:sz w:val="22"/>
        </w:rPr>
        <w:t xml:space="preserve">Etsy announced on July 30, 2026 that it had </w:t>
      </w:r>
      <w:r>
        <w:rPr>
          <w:rFonts w:ascii="Calibri" w:hAnsi="Calibri"/>
          <w:b/>
          <w:color w:val="525866"/>
          <w:sz w:val="22"/>
        </w:rPr>
        <w:t>completed the sale of Depop to eBay for approximately $1.4 billion in cash</w:t>
      </w:r>
      <w:r>
        <w:rPr>
          <w:rFonts w:ascii="Calibri" w:hAnsi="Calibri"/>
          <w:color w:val="525866"/>
          <w:sz w:val="22"/>
        </w:rPr>
        <w:t xml:space="preserve"> — comprising the original $1.2B purchase price plus $200M in net purchase price adjustments and interest. The transaction closed ahead of the original Q3 2026 deadline, following regulatory clearances in the U.S., Germany, UK, and Australia. Etsy CEO Kruti Patel Goyal described Depop as “a truly differentiated brand with a passionate community.”</w:t>
      </w:r>
    </w:p>
    <w:p>
      <w:r>
        <w:rPr>
          <w:rFonts w:ascii="Calibri" w:hAnsi="Calibri"/>
          <w:b/>
          <w:color w:val="525866"/>
          <w:sz w:val="22"/>
        </w:rPr>
        <w:t xml:space="preserve">Implication for eBay: </w:t>
      </w:r>
      <w:r>
        <w:rPr>
          <w:rFonts w:ascii="Calibri" w:hAnsi="Calibri"/>
          <w:color w:val="525866"/>
          <w:sz w:val="22"/>
        </w:rPr>
        <w:t>The Depop closing is the most significant post-Q1 development for eBay. Management will need to address: (1) the $200M above-plan cash outlay and its impact on the capital return program; (2) the timeline for Depop’s GMV contribution (~1 percentage point to FY 2026 FX-neutral GMV growth, now partially realized in Q3); (3) integration costs and the low-single-digit EPS dilution impact; and (4) early data on Depop’s U.S. growth trajectory and younger demographic acquisition. The closing in Q3 (not Q2) means Depop will not appear in Q2 results but will be a major topic on the call.</w:t>
      </w:r>
    </w:p>
    <w:p>
      <w:r>
        <w:rPr>
          <w:rFonts w:ascii="Calibri" w:hAnsi="Calibri"/>
          <w:i/>
          <w:color w:val="525866"/>
          <w:sz w:val="22"/>
        </w:rPr>
        <w:t>Source: Etsy 8-K / Press Release — Depop Sale Completion Announcement (July 30,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Depop acquisition closing (July 30) is the most consequential development since Q1 earnings — it arrived ahead of schedule and at a higher-than-expected price, and will dominate the Q2 call narrative. The $56M harassment settlement is a legacy overhang now resolved.</w:t>
      </w:r>
    </w:p>
    <w:p>
      <w:pPr>
        <w:pStyle w:val="ListBullet"/>
        <w:ind w:left="360" w:hanging="360"/>
      </w:pPr>
      <w:r>
        <w:rPr>
          <w:rFonts w:ascii="Calibri" w:hAnsi="Calibri"/>
          <w:b/>
          <w:color w:val="525866"/>
          <w:sz w:val="22"/>
        </w:rPr>
        <w:t xml:space="preserve">July 30, 2026 — Depop Acquisition Closes at ~$1.4B (vs. $1.2B original price). </w:t>
      </w:r>
      <w:r>
        <w:rPr>
          <w:rFonts w:ascii="Calibri" w:hAnsi="Calibri"/>
          <w:color w:val="525866"/>
          <w:sz w:val="22"/>
        </w:rPr>
        <w:t>Etsy announced completion of the Depop sale to eBay for ~$1.4B in cash ($1.2B purchase price + $200M in adjustments and interest). Closed ahead of the Q3 2026 deadline. Implication: eBay now owns a leading C2C fashion resale platform with a younger demographic; management will need to address integration costs, EPS dilution (low-single-digits), and early GMV contribution on the Q2 call. Source: Etsy 8-K / Press Release (July 30, 2026).</w:t>
      </w:r>
    </w:p>
    <w:p>
      <w:pPr>
        <w:pStyle w:val="ListBullet"/>
        <w:ind w:left="360" w:hanging="360"/>
      </w:pPr>
      <w:r>
        <w:rPr>
          <w:rFonts w:ascii="Calibri" w:hAnsi="Calibri"/>
          <w:b/>
          <w:color w:val="525866"/>
          <w:sz w:val="22"/>
        </w:rPr>
        <w:t xml:space="preserve">July 28, 2026 — $56M Harassment Settlement Reached. </w:t>
      </w:r>
      <w:r>
        <w:rPr>
          <w:rFonts w:ascii="Calibri" w:hAnsi="Calibri"/>
          <w:color w:val="525866"/>
          <w:sz w:val="22"/>
        </w:rPr>
        <w:t>eBay and former executives agreed to pay $56M to settle the civil case brought by the couple targeted in the 2019 cyberstalking campaign. eBay itself paid $46.15M; former CEO Devin Wenig paid $2M; other former executives paid smaller amounts. Implication: Removes a significant legal overhang and reputational risk. The settlement is a one-time charge that may appear in GAAP results but should not affect non-GAAP EPS guidance. Source: News Digest (July 28, 2026).</w:t>
      </w:r>
    </w:p>
    <w:p>
      <w:pPr>
        <w:pStyle w:val="ListBullet"/>
        <w:ind w:left="360" w:hanging="360"/>
      </w:pPr>
      <w:r>
        <w:rPr>
          <w:rFonts w:ascii="Calibri" w:hAnsi="Calibri"/>
          <w:b/>
          <w:color w:val="525866"/>
          <w:sz w:val="22"/>
        </w:rPr>
        <w:t xml:space="preserve">June 18, 2026 — Annual Shareholder Meeting: Board and Executive Compensation Approved. </w:t>
      </w:r>
      <w:r>
        <w:rPr>
          <w:rFonts w:ascii="Calibri" w:hAnsi="Calibri"/>
          <w:color w:val="525866"/>
          <w:sz w:val="22"/>
        </w:rPr>
        <w:t>Shareholders backed the board and executive compensation at the annual meeting, declining a proposal to lower the special meeting threshold. Implication: No governance disruption; management continuity confirmed. Source: eBay 8-K (June 18, 2026).</w:t>
      </w:r>
    </w:p>
    <w:p>
      <w:pPr>
        <w:pStyle w:val="ListBullet"/>
        <w:ind w:left="360" w:hanging="360"/>
      </w:pPr>
      <w:r>
        <w:rPr>
          <w:rFonts w:ascii="Calibri" w:hAnsi="Calibri"/>
          <w:b/>
          <w:color w:val="525866"/>
          <w:sz w:val="22"/>
        </w:rPr>
        <w:t xml:space="preserve">May 12, 2026 — GameStop Acquisition Proposal Disclosed and Rejected. </w:t>
      </w:r>
      <w:r>
        <w:rPr>
          <w:rFonts w:ascii="Calibri" w:hAnsi="Calibri"/>
          <w:color w:val="525866"/>
          <w:sz w:val="22"/>
        </w:rPr>
        <w:t>eBay disclosed receipt of an unsolicited, non-binding acquisition proposal from GameStop Corp., along with the Board’s response and a TD Securities financing assessment. The Board rejected the proposal. Implication: Confirmed eBay’s standalone strategy and asset-light model conviction; management explicitly rejected physical retail touchpoints as inconsistent with eBay’s model. Brief sentiment boost on disclosure; no lasting impact. Source: eBay 8-K (May 12, 2026).</w:t>
      </w:r>
    </w:p>
    <w:p>
      <w:pPr>
        <w:pStyle w:val="ListBullet"/>
        <w:ind w:left="360" w:hanging="360"/>
      </w:pPr>
      <w:r>
        <w:rPr>
          <w:rFonts w:ascii="Calibri" w:hAnsi="Calibri"/>
          <w:b/>
          <w:color w:val="525866"/>
          <w:sz w:val="22"/>
        </w:rPr>
        <w:t xml:space="preserve">May 5, 2026 — GameStop Acquisition Proposal Initially Confirmed. </w:t>
      </w:r>
      <w:r>
        <w:rPr>
          <w:rFonts w:ascii="Calibri" w:hAnsi="Calibri"/>
          <w:color w:val="525866"/>
          <w:sz w:val="22"/>
        </w:rPr>
        <w:t>eBay confirmed receipt of the unsolicited GameStop proposal via 8-K. Source: eBay 8-K (May 5, 2026).</w:t>
      </w:r>
    </w:p>
    <w:p>
      <w:pPr>
        <w:pStyle w:val="ListBullet"/>
        <w:ind w:left="360" w:hanging="360"/>
      </w:pPr>
      <w:r>
        <w:rPr>
          <w:rFonts w:ascii="Calibri" w:hAnsi="Calibri"/>
          <w:b/>
          <w:color w:val="525866"/>
          <w:sz w:val="22"/>
        </w:rPr>
        <w:t xml:space="preserve">Ongoing — Amazon Q2 2026 Results: Robust Online Retail and Advertising. </w:t>
      </w:r>
      <w:r>
        <w:rPr>
          <w:rFonts w:ascii="Calibri" w:hAnsi="Calibri"/>
          <w:color w:val="525866"/>
          <w:sz w:val="22"/>
        </w:rPr>
        <w:t>Amazon reported strong Q2 2026 results (July 30) with online store revenue +15% YoY and advertising +26% YoY. Implication: Positive read-through for the health of U.S. e-commerce and digital advertising markets heading into eBay’s print. See Section 6 for detailed read-through analysis.</w:t>
      </w:r>
    </w:p>
    <w:p>
      <w:pPr>
        <w:pStyle w:val="ListBullet"/>
        <w:ind w:left="360" w:hanging="360"/>
      </w:pPr>
      <w:r>
        <w:rPr>
          <w:rFonts w:ascii="Calibri" w:hAnsi="Calibri"/>
          <w:b/>
          <w:color w:val="525866"/>
          <w:sz w:val="22"/>
        </w:rPr>
        <w:t xml:space="preserve">Ongoing — Wayfair Q2 2026 Results: Best U.S. Growth Since 2020. </w:t>
      </w:r>
      <w:r>
        <w:rPr>
          <w:rFonts w:ascii="Calibri" w:hAnsi="Calibri"/>
          <w:color w:val="525866"/>
          <w:sz w:val="22"/>
        </w:rPr>
        <w:t>Wayfair reported Q2 2026 U.S. revenue growth of ~9% YoY (August 4), the best post-COVID performance, with luxury segment Perigold growing &gt;35%. Implication: Corroborates a healthy U.S. online discretionary environment and K-shaped recovery favoring high-income/enthusiast buyers — directly aligned with eBay’s focus category strategy. International weakness (UK, Canada) is a cautionary read-through for eBay’s international GMV. See Section 6 for detailed analysis.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print are </w:t>
      </w:r>
      <w:r>
        <w:rPr>
          <w:rFonts w:ascii="Calibri" w:hAnsi="Calibri"/>
          <w:b/>
          <w:color w:val="525866"/>
          <w:sz w:val="22"/>
        </w:rPr>
        <w:t>10b5-1 planned sales</w:t>
      </w:r>
      <w:r>
        <w:rPr>
          <w:rFonts w:ascii="Calibri" w:hAnsi="Calibri"/>
          <w:color w:val="525866"/>
          <w:sz w:val="22"/>
        </w:rPr>
        <w:t xml:space="preserve"> — pre-scheduled under Rule 10b5-1 trading plans adopted well before the transactions. CEO Jamie Iannone has been selling regularly under his plan. There are no open-market discretionary buys or unusual sale clusters that would signal a change in insider sentiment.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11,110</w:t>
            </w:r>
          </w:p>
        </w:tc>
        <w:tc>
          <w:tcPr>
            <w:tcW w:type="dxa" w:w="1234"/>
          </w:tcPr>
          <w:p>
            <w:r>
              <w:rPr>
                <w:rFonts w:ascii="Calibri" w:hAnsi="Calibri"/>
                <w:sz w:val="22"/>
              </w:rPr>
              <w:t>July 6, 2026</w:t>
            </w:r>
          </w:p>
        </w:tc>
        <w:tc>
          <w:tcPr>
            <w:tcW w:type="dxa" w:w="1234"/>
          </w:tcPr>
          <w:p>
            <w:r>
              <w:rPr>
                <w:rFonts w:ascii="Calibri" w:hAnsi="Calibri"/>
                <w:sz w:val="22"/>
              </w:rPr>
              <w:t>July 8, 2026</w:t>
            </w:r>
          </w:p>
        </w:tc>
        <w:tc>
          <w:tcPr>
            <w:tcW w:type="dxa" w:w="1234"/>
          </w:tcPr>
          <w:p>
            <w:r>
              <w:rPr>
                <w:rFonts w:ascii="Calibri" w:hAnsi="Calibri"/>
                <w:sz w:val="22"/>
              </w:rPr>
              <w:t>Pre-scheduled plan; routine sale. Retains 275,431 shares post-transaction.</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11,110</w:t>
            </w:r>
          </w:p>
        </w:tc>
        <w:tc>
          <w:tcPr>
            <w:tcW w:type="dxa" w:w="1234"/>
          </w:tcPr>
          <w:p>
            <w:r>
              <w:rPr>
                <w:rFonts w:ascii="Calibri" w:hAnsi="Calibri"/>
                <w:sz w:val="22"/>
              </w:rPr>
              <w:t>July 7, 2026</w:t>
            </w:r>
          </w:p>
        </w:tc>
        <w:tc>
          <w:tcPr>
            <w:tcW w:type="dxa" w:w="1234"/>
          </w:tcPr>
          <w:p>
            <w:r>
              <w:rPr>
                <w:rFonts w:ascii="Calibri" w:hAnsi="Calibri"/>
                <w:sz w:val="22"/>
              </w:rPr>
              <w:t>July 8, 2026</w:t>
            </w:r>
          </w:p>
        </w:tc>
        <w:tc>
          <w:tcPr>
            <w:tcW w:type="dxa" w:w="1234"/>
          </w:tcPr>
          <w:p>
            <w:r>
              <w:rPr>
                <w:rFonts w:ascii="Calibri" w:hAnsi="Calibri"/>
                <w:sz w:val="22"/>
              </w:rPr>
              <w:t>Pre-scheduled plan; routine sale. Retains 264,321 shares post-transaction.</w:t>
            </w:r>
          </w:p>
        </w:tc>
      </w:tr>
      <w:tr>
        <w:tc>
          <w:tcPr>
            <w:tcW w:type="dxa" w:w="1234"/>
          </w:tcPr>
          <w:p>
            <w:r>
              <w:rPr>
                <w:rFonts w:ascii="Calibri" w:hAnsi="Calibri"/>
                <w:sz w:val="22"/>
              </w:rPr>
              <w:t>Mazen Rawashdeh</w:t>
            </w:r>
          </w:p>
        </w:tc>
        <w:tc>
          <w:tcPr>
            <w:tcW w:type="dxa" w:w="1234"/>
          </w:tcPr>
          <w:p>
            <w:r>
              <w:rPr>
                <w:rFonts w:ascii="Calibri" w:hAnsi="Calibri"/>
                <w:sz w:val="22"/>
              </w:rPr>
              <w:t>SVP, Chief Technology Officer</w:t>
            </w:r>
          </w:p>
        </w:tc>
        <w:tc>
          <w:tcPr>
            <w:tcW w:type="dxa" w:w="1234"/>
          </w:tcPr>
          <w:p>
            <w:r>
              <w:rPr>
                <w:rFonts w:ascii="Calibri" w:hAnsi="Calibri"/>
                <w:sz w:val="22"/>
              </w:rPr>
              <w:t>10b5-1 Planned Sale</w:t>
            </w:r>
          </w:p>
        </w:tc>
        <w:tc>
          <w:tcPr>
            <w:tcW w:type="dxa" w:w="1234"/>
          </w:tcPr>
          <w:p>
            <w:r>
              <w:rPr>
                <w:rFonts w:ascii="Calibri" w:hAnsi="Calibri"/>
                <w:sz w:val="22"/>
              </w:rPr>
              <w:t>1,919</w:t>
            </w:r>
          </w:p>
        </w:tc>
        <w:tc>
          <w:tcPr>
            <w:tcW w:type="dxa" w:w="1234"/>
          </w:tcPr>
          <w:p>
            <w:r>
              <w:rPr>
                <w:rFonts w:ascii="Calibri" w:hAnsi="Calibri"/>
                <w:sz w:val="22"/>
              </w:rPr>
              <w:t>June 17, 2026</w:t>
            </w:r>
          </w:p>
        </w:tc>
        <w:tc>
          <w:tcPr>
            <w:tcW w:type="dxa" w:w="1234"/>
          </w:tcPr>
          <w:p>
            <w:r>
              <w:rPr>
                <w:rFonts w:ascii="Calibri" w:hAnsi="Calibri"/>
                <w:sz w:val="22"/>
              </w:rPr>
              <w:t>June 18, 2026</w:t>
            </w:r>
          </w:p>
        </w:tc>
        <w:tc>
          <w:tcPr>
            <w:tcW w:type="dxa" w:w="1234"/>
          </w:tcPr>
          <w:p>
            <w:r>
              <w:rPr>
                <w:rFonts w:ascii="Calibri" w:hAnsi="Calibri"/>
                <w:sz w:val="22"/>
              </w:rPr>
              <w:t>Pre-scheduled plan; routine sale. Retains 32,124 shares post-transaction.</w:t>
            </w:r>
          </w:p>
        </w:tc>
      </w:tr>
      <w:tr>
        <w:tc>
          <w:tcPr>
            <w:tcW w:type="dxa" w:w="1234"/>
          </w:tcPr>
          <w:p>
            <w:r>
              <w:rPr>
                <w:rFonts w:ascii="Calibri" w:hAnsi="Calibri"/>
                <w:sz w:val="22"/>
              </w:rPr>
              <w:t>Jordan Sweetnam</w:t>
            </w:r>
          </w:p>
        </w:tc>
        <w:tc>
          <w:tcPr>
            <w:tcW w:type="dxa" w:w="1234"/>
          </w:tcPr>
          <w:p>
            <w:r>
              <w:rPr>
                <w:rFonts w:ascii="Calibri" w:hAnsi="Calibri"/>
                <w:sz w:val="22"/>
              </w:rPr>
              <w:t>SVP, Chief Commercial Officer</w:t>
            </w:r>
          </w:p>
        </w:tc>
        <w:tc>
          <w:tcPr>
            <w:tcW w:type="dxa" w:w="1234"/>
          </w:tcPr>
          <w:p>
            <w:r>
              <w:rPr>
                <w:rFonts w:ascii="Calibri" w:hAnsi="Calibri"/>
                <w:sz w:val="22"/>
              </w:rPr>
              <w:t>10b5-1 Planned Sale</w:t>
            </w:r>
          </w:p>
        </w:tc>
        <w:tc>
          <w:tcPr>
            <w:tcW w:type="dxa" w:w="1234"/>
          </w:tcPr>
          <w:p>
            <w:r>
              <w:rPr>
                <w:rFonts w:ascii="Calibri" w:hAnsi="Calibri"/>
                <w:sz w:val="22"/>
              </w:rPr>
              <w:t>863</w:t>
            </w:r>
          </w:p>
        </w:tc>
        <w:tc>
          <w:tcPr>
            <w:tcW w:type="dxa" w:w="1234"/>
          </w:tcPr>
          <w:p>
            <w:r>
              <w:rPr>
                <w:rFonts w:ascii="Calibri" w:hAnsi="Calibri"/>
                <w:sz w:val="22"/>
              </w:rPr>
              <w:t>June 18, 2026</w:t>
            </w:r>
          </w:p>
        </w:tc>
        <w:tc>
          <w:tcPr>
            <w:tcW w:type="dxa" w:w="1234"/>
          </w:tcPr>
          <w:p>
            <w:r>
              <w:rPr>
                <w:rFonts w:ascii="Calibri" w:hAnsi="Calibri"/>
                <w:sz w:val="22"/>
              </w:rPr>
              <w:t>June 18, 2026</w:t>
            </w:r>
          </w:p>
        </w:tc>
        <w:tc>
          <w:tcPr>
            <w:tcW w:type="dxa" w:w="1234"/>
          </w:tcPr>
          <w:p>
            <w:r>
              <w:rPr>
                <w:rFonts w:ascii="Calibri" w:hAnsi="Calibri"/>
                <w:sz w:val="22"/>
              </w:rPr>
              <w:t>Pre-scheduled plan; routine sale. Retains 34,533 shares post-transaction.</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11,110</w:t>
            </w:r>
          </w:p>
        </w:tc>
        <w:tc>
          <w:tcPr>
            <w:tcW w:type="dxa" w:w="1234"/>
          </w:tcPr>
          <w:p>
            <w:r>
              <w:rPr>
                <w:rFonts w:ascii="Calibri" w:hAnsi="Calibri"/>
                <w:sz w:val="22"/>
              </w:rPr>
              <w:t>June 4, 2026</w:t>
            </w:r>
          </w:p>
        </w:tc>
        <w:tc>
          <w:tcPr>
            <w:tcW w:type="dxa" w:w="1234"/>
          </w:tcPr>
          <w:p>
            <w:r>
              <w:rPr>
                <w:rFonts w:ascii="Calibri" w:hAnsi="Calibri"/>
                <w:sz w:val="22"/>
              </w:rPr>
              <w:t>June 8, 2026</w:t>
            </w:r>
          </w:p>
        </w:tc>
        <w:tc>
          <w:tcPr>
            <w:tcW w:type="dxa" w:w="1234"/>
          </w:tcPr>
          <w:p>
            <w:r>
              <w:rPr>
                <w:rFonts w:ascii="Calibri" w:hAnsi="Calibri"/>
                <w:sz w:val="22"/>
              </w:rPr>
              <w:t>Pre-scheduled plan; routine sale. Retains 280,204 shares post-transaction.</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11,110</w:t>
            </w:r>
          </w:p>
        </w:tc>
        <w:tc>
          <w:tcPr>
            <w:tcW w:type="dxa" w:w="1234"/>
          </w:tcPr>
          <w:p>
            <w:r>
              <w:rPr>
                <w:rFonts w:ascii="Calibri" w:hAnsi="Calibri"/>
                <w:sz w:val="22"/>
              </w:rPr>
              <w:t>June 5, 2026</w:t>
            </w:r>
          </w:p>
        </w:tc>
        <w:tc>
          <w:tcPr>
            <w:tcW w:type="dxa" w:w="1234"/>
          </w:tcPr>
          <w:p>
            <w:r>
              <w:rPr>
                <w:rFonts w:ascii="Calibri" w:hAnsi="Calibri"/>
                <w:sz w:val="22"/>
              </w:rPr>
              <w:t>June 8, 2026</w:t>
            </w:r>
          </w:p>
        </w:tc>
        <w:tc>
          <w:tcPr>
            <w:tcW w:type="dxa" w:w="1234"/>
          </w:tcPr>
          <w:p>
            <w:r>
              <w:rPr>
                <w:rFonts w:ascii="Calibri" w:hAnsi="Calibri"/>
                <w:sz w:val="22"/>
              </w:rPr>
              <w:t>Pre-scheduled plan; routine sale. Retains 269,094 shares post-transaction.</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19,641</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Pre-scheduled plan; routine sale. Retains 291,314 shares post-transaction.</w:t>
            </w:r>
          </w:p>
        </w:tc>
      </w:tr>
      <w:tr>
        <w:tc>
          <w:tcPr>
            <w:tcW w:type="dxa" w:w="1234"/>
          </w:tcPr>
          <w:p>
            <w:r>
              <w:rPr>
                <w:rFonts w:ascii="Calibri" w:hAnsi="Calibri"/>
                <w:sz w:val="22"/>
              </w:rPr>
              <w:t>Jamie Iannone</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21,000</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Pre-scheduled plan; routine sale. Retains 310,955 shares post-transaction.</w:t>
            </w:r>
          </w:p>
        </w:tc>
      </w:tr>
      <w:tr>
        <w:tc>
          <w:tcPr>
            <w:tcW w:type="dxa" w:w="1234"/>
          </w:tcPr>
          <w:p>
            <w:r>
              <w:rPr>
                <w:rFonts w:ascii="Calibri" w:hAnsi="Calibri"/>
                <w:sz w:val="22"/>
              </w:rPr>
              <w:t>Jordan Sweetnam</w:t>
            </w:r>
          </w:p>
        </w:tc>
        <w:tc>
          <w:tcPr>
            <w:tcW w:type="dxa" w:w="1234"/>
          </w:tcPr>
          <w:p>
            <w:r>
              <w:rPr>
                <w:rFonts w:ascii="Calibri" w:hAnsi="Calibri"/>
                <w:sz w:val="22"/>
              </w:rPr>
              <w:t>SVP, Chief Commercial Officer</w:t>
            </w:r>
          </w:p>
        </w:tc>
        <w:tc>
          <w:tcPr>
            <w:tcW w:type="dxa" w:w="1234"/>
          </w:tcPr>
          <w:p>
            <w:r>
              <w:rPr>
                <w:rFonts w:ascii="Calibri" w:hAnsi="Calibri"/>
                <w:sz w:val="22"/>
              </w:rPr>
              <w:t>10b5-1 Planned Sale</w:t>
            </w:r>
          </w:p>
        </w:tc>
        <w:tc>
          <w:tcPr>
            <w:tcW w:type="dxa" w:w="1234"/>
          </w:tcPr>
          <w:p>
            <w:r>
              <w:rPr>
                <w:rFonts w:ascii="Calibri" w:hAnsi="Calibri"/>
                <w:sz w:val="22"/>
              </w:rPr>
              <w:t>33,441</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Pre-scheduled plan; routine sale. Retains 31,137 shares post-transaction.</w:t>
            </w:r>
          </w:p>
        </w:tc>
      </w:tr>
    </w:tbl>
    <w:p>
      <w:r>
        <w:rPr>
          <w:rFonts w:ascii="Calibri" w:hAnsi="Calibri"/>
          <w:i/>
          <w:color w:val="525866"/>
          <w:sz w:val="22"/>
        </w:rPr>
        <w:t>Source: SEC Form 4 Filings Database (Insider Transaction Data). All transactions are open-market sales under pre-established 10b5-1 trading plans. No open-market discretionary buys or unusual sale clusters were identified in the period.</w:t>
      </w:r>
    </w:p>
    <w:p>
      <w:r>
        <w:br w:type="page"/>
      </w:r>
    </w:p>
    <w:p>
      <w:pPr>
        <w:pStyle w:val="Heading2"/>
      </w:pPr>
      <w:r>
        <w:rPr>
          <w:rFonts w:ascii="Calibri" w:hAnsi="Calibri"/>
          <w:b/>
          <w:color w:val="3B4259"/>
          <w:sz w:val="28"/>
        </w:rPr>
        <w:t>9. Key Risks &amp; Earnings Questions</w:t>
      </w:r>
    </w:p>
    <w:p>
      <w:pPr>
        <w:pStyle w:val="Heading3"/>
      </w:pPr>
      <w:r>
        <w:rPr>
          <w:rFonts w:ascii="Calibri" w:hAnsi="Calibri"/>
          <w:b/>
          <w:color w:val="3B4259"/>
          <w:sz w:val="24"/>
        </w:rPr>
        <w:t>Key Risks Heading into the Print</w:t>
      </w:r>
    </w:p>
    <w:p>
      <w:pPr>
        <w:pStyle w:val="ListBullet"/>
        <w:ind w:left="360" w:hanging="360"/>
      </w:pPr>
      <w:r>
        <w:rPr>
          <w:rFonts w:ascii="Calibri" w:hAnsi="Calibri"/>
          <w:b/>
          <w:color w:val="525866"/>
          <w:sz w:val="22"/>
        </w:rPr>
        <w:t xml:space="preserve">International GMV Deceleration. </w:t>
      </w:r>
      <w:r>
        <w:rPr>
          <w:rFonts w:ascii="Calibri" w:hAnsi="Calibri"/>
          <w:color w:val="525866"/>
          <w:sz w:val="22"/>
        </w:rPr>
        <w:t>Europe remains “more challenging” per Q1 commentary, and Wayfair’s Q2 international weakness (UK, Canada -1.3% YoY) corroborates this risk. eBay’s international GMV (~50%+ of total) is the most vulnerable segment to macro headwinds and FX volatility.</w:t>
      </w:r>
    </w:p>
    <w:p>
      <w:pPr>
        <w:pStyle w:val="ListBullet"/>
        <w:ind w:left="360" w:hanging="360"/>
      </w:pPr>
      <w:r>
        <w:rPr>
          <w:rFonts w:ascii="Calibri" w:hAnsi="Calibri"/>
          <w:b/>
          <w:color w:val="525866"/>
          <w:sz w:val="22"/>
        </w:rPr>
        <w:t xml:space="preserve">Bullion Normalization Worse Than Guided. </w:t>
      </w:r>
      <w:r>
        <w:rPr>
          <w:rFonts w:ascii="Calibri" w:hAnsi="Calibri"/>
          <w:color w:val="525866"/>
          <w:sz w:val="22"/>
        </w:rPr>
        <w:t>Management attributed a significant portion of Q2 deceleration to gold/silver bullion reverting to historical levels. If bullion demand normalized more sharply than expected, GMV could miss the low end of guidance.</w:t>
      </w:r>
    </w:p>
    <w:p>
      <w:pPr>
        <w:pStyle w:val="ListBullet"/>
        <w:ind w:left="360" w:hanging="360"/>
      </w:pPr>
      <w:r>
        <w:rPr>
          <w:rFonts w:ascii="Calibri" w:hAnsi="Calibri"/>
          <w:b/>
          <w:color w:val="525866"/>
          <w:sz w:val="22"/>
        </w:rPr>
        <w:t xml:space="preserve">Depop Integration Costs and EPS Dilution. </w:t>
      </w:r>
      <w:r>
        <w:rPr>
          <w:rFonts w:ascii="Calibri" w:hAnsi="Calibri"/>
          <w:color w:val="525866"/>
          <w:sz w:val="22"/>
        </w:rPr>
        <w:t>The acquisition closed at $1.4B (vs. $1.2B original price), and management guided for low-single-digit EPS dilution. The market will scrutinize the integration cost structure, Depop’s standalone GMV trajectory, and whether the dilution is tracking to the low end or high end of guidance.</w:t>
      </w:r>
    </w:p>
    <w:p>
      <w:pPr>
        <w:pStyle w:val="ListBullet"/>
        <w:ind w:left="360" w:hanging="360"/>
      </w:pPr>
      <w:r>
        <w:rPr>
          <w:rFonts w:ascii="Calibri" w:hAnsi="Calibri"/>
          <w:b/>
          <w:color w:val="525866"/>
          <w:sz w:val="22"/>
        </w:rPr>
        <w:t xml:space="preserve">Advertising Revenue Deceleration. </w:t>
      </w:r>
      <w:r>
        <w:rPr>
          <w:rFonts w:ascii="Calibri" w:hAnsi="Calibri"/>
          <w:color w:val="525866"/>
          <w:sz w:val="22"/>
        </w:rPr>
        <w:t>First-party advertising grew 28% FX-neutral in Q1 (33% as-reported). Any deceleration below ~20% YoY in Q2 would be a negative surprise given management’s “healthy growth” language and the Street’s $575M consensus estimate.</w:t>
      </w:r>
    </w:p>
    <w:p>
      <w:pPr>
        <w:pStyle w:val="ListBullet"/>
        <w:ind w:left="360" w:hanging="360"/>
      </w:pPr>
      <w:r>
        <w:rPr>
          <w:rFonts w:ascii="Calibri" w:hAnsi="Calibri"/>
          <w:b/>
          <w:color w:val="525866"/>
          <w:sz w:val="22"/>
        </w:rPr>
        <w:t xml:space="preserve">Margin Compression from Reinvestment. </w:t>
      </w:r>
      <w:r>
        <w:rPr>
          <w:rFonts w:ascii="Calibri" w:hAnsi="Calibri"/>
          <w:color w:val="525866"/>
          <w:sz w:val="22"/>
        </w:rPr>
        <w:t>Q2 non-GAAP operating margin guidance of 27.6%–28.1% implies a ~130–180 bps step-down from Q1’s 29.4%. If reinvestment in strategic priorities (eBay Live, vehicles, Depop integration) runs ahead of plan, margins could disappoint.</w:t>
      </w:r>
    </w:p>
    <w:p>
      <w:pPr>
        <w:pStyle w:val="ListBullet"/>
        <w:ind w:left="360" w:hanging="360"/>
      </w:pPr>
      <w:r>
        <w:rPr>
          <w:rFonts w:ascii="Calibri" w:hAnsi="Calibri"/>
          <w:b/>
          <w:color w:val="525866"/>
          <w:sz w:val="22"/>
        </w:rPr>
        <w:t xml:space="preserve">FY 2026 Guidance Revision Risk (Depop). </w:t>
      </w:r>
      <w:r>
        <w:rPr>
          <w:rFonts w:ascii="Calibri" w:hAnsi="Calibri"/>
          <w:color w:val="525866"/>
          <w:sz w:val="22"/>
        </w:rPr>
        <w:t>The Depop closing in Q3 (not Q2) means management will need to update FY 2026 guidance to incorporate Depop’s contribution. The market will be sensitive to whether the low-single-digit EPS dilution guidance is maintained or widened.</w:t>
      </w:r>
    </w:p>
    <w:p>
      <w:pPr>
        <w:pStyle w:val="ListBullet"/>
        <w:ind w:left="360" w:hanging="360"/>
      </w:pPr>
      <w:r>
        <w:rPr>
          <w:rFonts w:ascii="Calibri" w:hAnsi="Calibri"/>
          <w:b/>
          <w:color w:val="525866"/>
          <w:sz w:val="22"/>
        </w:rPr>
        <w:t xml:space="preserve">Macro / Consumer Confidence. </w:t>
      </w:r>
      <w:r>
        <w:rPr>
          <w:rFonts w:ascii="Calibri" w:hAnsi="Calibri"/>
          <w:color w:val="525866"/>
          <w:sz w:val="22"/>
        </w:rPr>
        <w:t>While U.S. consumer demand has been resilient, European consumer confidence remains weak. Any deterioration in the U.S. macro environment (e.g., labor market softening) could pressure eBay’s core buyer base.</w:t>
      </w:r>
    </w:p>
    <w:p>
      <w:pPr>
        <w:pStyle w:val="Heading3"/>
      </w:pPr>
      <w:r>
        <w:rPr>
          <w:rFonts w:ascii="Calibri" w:hAnsi="Calibri"/>
          <w:b/>
          <w:color w:val="3B4259"/>
          <w:sz w:val="24"/>
        </w:rPr>
        <w:t>Key Questions for Management on the Q2 2026 Call</w:t>
      </w:r>
    </w:p>
    <w:p>
      <w:pPr>
        <w:pStyle w:val="ListNumber"/>
        <w:ind w:left="360" w:hanging="360"/>
      </w:pPr>
      <w:r>
        <w:rPr>
          <w:rFonts w:ascii="Calibri" w:hAnsi="Calibri"/>
          <w:b/>
          <w:color w:val="525866"/>
          <w:sz w:val="22"/>
        </w:rPr>
        <w:t xml:space="preserve">GMV Deceleration Drivers: </w:t>
      </w:r>
      <w:r>
        <w:rPr>
          <w:rFonts w:ascii="Calibri" w:hAnsi="Calibri"/>
          <w:color w:val="525866"/>
          <w:sz w:val="22"/>
        </w:rPr>
        <w:t>How much of the Q2 deceleration was bullion normalization vs. underlying demand softness? What is the exit rate of GMV growth exiting Q2, and does the 7%–7.5% FX-neutral FY 2026 GMV guidance (ex-Depop) still hold?</w:t>
      </w:r>
    </w:p>
    <w:p>
      <w:pPr>
        <w:pStyle w:val="ListNumber"/>
        <w:ind w:left="360" w:hanging="360"/>
      </w:pPr>
      <w:r>
        <w:rPr>
          <w:rFonts w:ascii="Calibri" w:hAnsi="Calibri"/>
          <w:b/>
          <w:color w:val="525866"/>
          <w:sz w:val="22"/>
        </w:rPr>
        <w:t xml:space="preserve">Depop Integration Update: </w:t>
      </w:r>
      <w:r>
        <w:rPr>
          <w:rFonts w:ascii="Calibri" w:hAnsi="Calibri"/>
          <w:color w:val="525866"/>
          <w:sz w:val="22"/>
        </w:rPr>
        <w:t>Now that Depop has closed, what is the near-term integration roadmap? What GMV run rate is Depop currently generating, and how does the $200M above-plan acquisition cost affect the capital return program?</w:t>
      </w:r>
    </w:p>
    <w:p>
      <w:pPr>
        <w:pStyle w:val="ListNumber"/>
        <w:ind w:left="360" w:hanging="360"/>
      </w:pPr>
      <w:r>
        <w:rPr>
          <w:rFonts w:ascii="Calibri" w:hAnsi="Calibri"/>
          <w:b/>
          <w:color w:val="525866"/>
          <w:sz w:val="22"/>
        </w:rPr>
        <w:t xml:space="preserve">Advertising Revenue Trajectory: </w:t>
      </w:r>
      <w:r>
        <w:rPr>
          <w:rFonts w:ascii="Calibri" w:hAnsi="Calibri"/>
          <w:color w:val="525866"/>
          <w:sz w:val="22"/>
        </w:rPr>
        <w:t>First-party advertising grew 28% FX-neutral in Q1. What is the Q2 growth rate, and what are the key drivers (seller adoption, listings penetration, AI-driven ad relevance)? Is the path to 3%+ advertising penetration of GMV still on track?</w:t>
      </w:r>
    </w:p>
    <w:p>
      <w:pPr>
        <w:pStyle w:val="ListNumber"/>
        <w:ind w:left="360" w:hanging="360"/>
      </w:pPr>
      <w:r>
        <w:rPr>
          <w:rFonts w:ascii="Calibri" w:hAnsi="Calibri"/>
          <w:b/>
          <w:color w:val="525866"/>
          <w:sz w:val="22"/>
        </w:rPr>
        <w:t xml:space="preserve">International GMV: </w:t>
      </w:r>
      <w:r>
        <w:rPr>
          <w:rFonts w:ascii="Calibri" w:hAnsi="Calibri"/>
          <w:color w:val="525866"/>
          <w:sz w:val="22"/>
        </w:rPr>
        <w:t>How did international GMV perform in Q2, particularly in Europe? Are cross-border shipping solutions (EIS, Speed Pack) continuing to recover cross-border volume, and what is the FX tailwind/headwind assumption for Q3?</w:t>
      </w:r>
    </w:p>
    <w:p>
      <w:pPr>
        <w:pStyle w:val="ListNumber"/>
        <w:ind w:left="360" w:hanging="360"/>
      </w:pPr>
      <w:r>
        <w:rPr>
          <w:rFonts w:ascii="Calibri" w:hAnsi="Calibri"/>
          <w:b/>
          <w:color w:val="525866"/>
          <w:sz w:val="22"/>
        </w:rPr>
        <w:t xml:space="preserve">Focus Category Momentum: </w:t>
      </w:r>
      <w:r>
        <w:rPr>
          <w:rFonts w:ascii="Calibri" w:hAnsi="Calibri"/>
          <w:color w:val="525866"/>
          <w:sz w:val="22"/>
        </w:rPr>
        <w:t>Did focus categories (collectibles, P&amp;A, luxury, fashion) maintain their outperformance in Q2? Specifically, how did trading cards, eBay Live GMV, and vehicles perform relative to Q1’s exceptional results?</w:t>
      </w:r>
    </w:p>
    <w:p>
      <w:pPr>
        <w:pStyle w:val="ListNumber"/>
        <w:ind w:left="360" w:hanging="360"/>
      </w:pPr>
      <w:r>
        <w:rPr>
          <w:rFonts w:ascii="Calibri" w:hAnsi="Calibri"/>
          <w:b/>
          <w:color w:val="525866"/>
          <w:sz w:val="22"/>
        </w:rPr>
        <w:t xml:space="preserve">Capital Allocation Post-Depop: </w:t>
      </w:r>
      <w:r>
        <w:rPr>
          <w:rFonts w:ascii="Calibri" w:hAnsi="Calibri"/>
          <w:color w:val="525866"/>
          <w:sz w:val="22"/>
        </w:rPr>
        <w:t>With ~$1.4B deployed for Depop, is the $2B share repurchase target for FY 2026 still intact? How does management think about the balance between buybacks, dividends, and further M&amp;A?</w:t>
      </w:r>
    </w:p>
    <w:p>
      <w:pPr>
        <w:pStyle w:val="ListNumber"/>
        <w:ind w:left="360" w:hanging="360"/>
      </w:pPr>
      <w:r>
        <w:rPr>
          <w:rFonts w:ascii="Calibri" w:hAnsi="Calibri"/>
          <w:b/>
          <w:color w:val="525866"/>
          <w:sz w:val="22"/>
        </w:rPr>
        <w:t xml:space="preserve">FY 2026 Guidance Update: </w:t>
      </w:r>
      <w:r>
        <w:rPr>
          <w:rFonts w:ascii="Calibri" w:hAnsi="Calibri"/>
          <w:color w:val="525866"/>
          <w:sz w:val="22"/>
        </w:rPr>
        <w:t>Will management update FY 2026 guidance to incorporate Depop? What is the updated EPS dilution estimate, and does the 9%–11% non-GAAP operating income growth guidance for the core marketplace still hold?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