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d-earnings-predictions--2026-08-06"/>
    <w:p>
      <w:pPr>
        <w:pStyle w:val="Heading1"/>
      </w:pPr>
      <w:r>
        <w:t xml:space="preserve">ED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~$0.73 vs. cons $0.745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~$0.72 vs. cons $0.75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~$3.65B vs. cons $3.70B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6.00</m:t>
              </m:r>
              <m:r>
                <m:rPr>
                  <m:sty m:val="p"/>
                </m:rPr>
                <m:t>−</m:t>
              </m:r>
            </m:oMath>
            <w:r>
              <w:t xml:space="preserve">6.20 (mid ~$6.10) vs. cons $6.09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5-yr Adjusted EPS CAGR off 2026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~6-7% vs. cons ~6.5% implied (2026-2030/31)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Capex Plan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~$6.7B vs. prior guide $6.6B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-0.2% (STABILIZE)</w:t>
            </w:r>
          </w:p>
        </w:tc>
        <w:tc>
          <w:tcPr/>
          <w:p>
            <w:pPr>
              <w:pStyle w:val="Compact"/>
            </w:pPr>
            <w:r>
              <w:t xml:space="preserve">A modest adjusted-EPS miss driven by recurring O&amp;M inflation and equity dilution is largely priced in given the soft Q1 print already set that expectation; with FY2026 guidance and the 6-7% long-term CAGR algorithm reaffirmed, there's no implicit out-period cut to chase, so the small negative day-1 reaction should stabilize rather than extend as low-vol, income-oriented holders view the miss as financing-mix noise, not a rate-base/ROE problem.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2026-08-06T01:22:40Z</dcterms:created>
  <dcterms:modified xsi:type="dcterms:W3CDTF">2026-08-06T01:22:40Z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