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421453590dc37186f2c20e1280e447aae98835a"/>
    <w:p>
      <w:pPr>
        <w:pStyle w:val="Heading1"/>
      </w:pPr>
      <w:r>
        <w:t xml:space="preserve">Consolidated Edison (ED) — Q2 2026 Earnings Preview</w:t>
      </w:r>
    </w:p>
    <w:p>
      <w:pPr>
        <w:pStyle w:val="FirstParagraph"/>
      </w:pPr>
      <w:r>
        <w:rPr>
          <w:b/>
          <w:bCs/>
        </w:rPr>
        <w:t xml:space="preserve">Report Date:</w:t>
      </w:r>
      <w:r>
        <w:t xml:space="preserve"> </w:t>
      </w:r>
      <w:r>
        <w:t xml:space="preserve">Thursday, August 6, 2026 (after market close)</w:t>
      </w:r>
      <w:r>
        <w:t xml:space="preserve"> </w:t>
      </w:r>
      <w:r>
        <w:rPr>
          <w:b/>
          <w:bCs/>
        </w:rPr>
        <w:t xml:space="preserve">Current Price:</w:t>
      </w:r>
      <w:r>
        <w:t xml:space="preserve"> </w:t>
      </w:r>
      <w:r>
        <w:t xml:space="preserve">~$108 (as of Aug 5, 2026) |</w:t>
      </w:r>
      <w:r>
        <w:t xml:space="preserve"> </w:t>
      </w:r>
      <w:r>
        <w:rPr>
          <w:b/>
          <w:bCs/>
        </w:rPr>
        <w:t xml:space="preserve">FY2026 Guidance:</w:t>
      </w:r>
      <w:r>
        <w:t xml:space="preserve"> </w:t>
      </w:r>
      <m:oMath>
        <m:r>
          <m:t>6.00</m:t>
        </m:r>
        <m:r>
          <m:rPr>
            <m:sty m:val="p"/>
          </m:rPr>
          <m:t>–</m:t>
        </m:r>
      </m:oMath>
      <w:r>
        <w:t xml:space="preserve">6.20 adjusted EPS</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Con Edison has traded in a fairly tight range this summer, running from roughly $104 in early June to a high near</w:t>
      </w:r>
      <w:r>
        <w:t xml:space="preserve"> </w:t>
      </w:r>
      <m:oMath>
        <m:r>
          <m:t>113</m:t>
        </m:r>
        <m:r>
          <m:t>i</m:t>
        </m:r>
        <m:r>
          <m:t>n</m:t>
        </m:r>
        <m:r>
          <m:t>l</m:t>
        </m:r>
        <m:r>
          <m:t>a</m:t>
        </m:r>
        <m:r>
          <m:t>t</m:t>
        </m:r>
        <m:r>
          <m:t>e</m:t>
        </m:r>
        <m:r>
          <m:t>J</m:t>
        </m:r>
        <m:r>
          <m:t>u</m:t>
        </m:r>
        <m:r>
          <m:t>l</m:t>
        </m:r>
        <m:r>
          <m:t>y</m:t>
        </m:r>
        <m:r>
          <m:t>b</m:t>
        </m:r>
        <m:r>
          <m:t>e</m:t>
        </m:r>
        <m:r>
          <m:t>f</m:t>
        </m:r>
        <m:r>
          <m:t>o</m:t>
        </m:r>
        <m:r>
          <m:t>r</m:t>
        </m:r>
        <m:r>
          <m:t>e</m:t>
        </m:r>
        <m:r>
          <m:t>p</m:t>
        </m:r>
        <m:r>
          <m:t>u</m:t>
        </m:r>
        <m:r>
          <m:t>l</m:t>
        </m:r>
        <m:r>
          <m:t>l</m:t>
        </m:r>
        <m:r>
          <m:t>i</m:t>
        </m:r>
        <m:r>
          <m:t>n</m:t>
        </m:r>
        <m:r>
          <m:t>g</m:t>
        </m:r>
        <m:r>
          <m:t>b</m:t>
        </m:r>
        <m:r>
          <m:t>a</m:t>
        </m:r>
        <m:r>
          <m:t>c</m:t>
        </m:r>
        <m:r>
          <m:t>k</m:t>
        </m:r>
        <m:r>
          <m:t>t</m:t>
        </m:r>
        <m:r>
          <m:t>o</m:t>
        </m:r>
        <m:r>
          <m:t> </m:t>
        </m:r>
      </m:oMath>
      <w:r>
        <w:t xml:space="preserve">108 heading into the report — broadly tracking the utility sector's rate-sensitive rotation. The stock is up modestly year-to-date but sentiment among sell-side analysts is split: coverage is a mix of "Hold" and polarized bull/bear calls, with the average price target only slightly above current levels, suggesting the market sees limited near-term catalysts beyond the steady, regulated growth story.</w:t>
      </w:r>
    </w:p>
    <w:p>
      <w:pPr>
        <w:pStyle w:val="BodyText"/>
      </w:pPr>
      <w:r>
        <w:rPr>
          <w:b/>
          <w:bCs/>
        </w:rPr>
        <w:t xml:space="preserve">Consensus expectations for Q2 2026:</w:t>
      </w:r>
    </w:p>
    <w:p>
      <w:pPr>
        <w:pStyle w:val="Compact"/>
        <w:numPr>
          <w:ilvl w:val="0"/>
          <w:numId w:val="1001"/>
        </w:numPr>
      </w:pPr>
      <w:r>
        <w:rPr>
          <w:b/>
          <w:bCs/>
        </w:rPr>
        <w:t xml:space="preserve">EPS:</w:t>
      </w:r>
      <w:r>
        <w:t xml:space="preserve"> </w:t>
      </w:r>
      <w:r>
        <w:t xml:space="preserve">~</w:t>
      </w:r>
      <m:oMath>
        <m:r>
          <m:t>0.74</m:t>
        </m:r>
        <m:r>
          <m:rPr>
            <m:sty m:val="p"/>
          </m:rPr>
          <m:t>–</m:t>
        </m:r>
      </m:oMath>
      <w:r>
        <w:t xml:space="preserve">0.75 (vs. $0.67 adjusted in Q2 2025), implying ~10–12% y/y growth</w:t>
      </w:r>
    </w:p>
    <w:p>
      <w:pPr>
        <w:pStyle w:val="Compact"/>
        <w:numPr>
          <w:ilvl w:val="0"/>
          <w:numId w:val="1001"/>
        </w:numPr>
      </w:pPr>
      <w:r>
        <w:rPr>
          <w:b/>
          <w:bCs/>
        </w:rPr>
        <w:t xml:space="preserve">Revenue:</w:t>
      </w:r>
      <w:r>
        <w:t xml:space="preserve"> </w:t>
      </w:r>
      <w:r>
        <w:t xml:space="preserve">~$3.7 billion</w:t>
      </w:r>
    </w:p>
    <w:p>
      <w:pPr>
        <w:pStyle w:val="Compact"/>
        <w:numPr>
          <w:ilvl w:val="0"/>
          <w:numId w:val="1001"/>
        </w:numPr>
      </w:pPr>
      <w:r>
        <w:rPr>
          <w:b/>
          <w:bCs/>
        </w:rPr>
        <w:t xml:space="preserve">FY2026 consensus EPS:</w:t>
      </w:r>
      <w:r>
        <w:t xml:space="preserve"> </w:t>
      </w:r>
      <w:r>
        <w:t xml:space="preserve">~$6.09, within the company's</w:t>
      </w:r>
      <w:r>
        <w:t xml:space="preserve"> </w:t>
      </w:r>
      <m:oMath>
        <m:r>
          <m:t>6.00</m:t>
        </m:r>
        <m:r>
          <m:rPr>
            <m:sty m:val="p"/>
          </m:rPr>
          <m:t>–</m:t>
        </m:r>
      </m:oMath>
      <w:r>
        <w:t xml:space="preserve">6.20 guided range</w:t>
      </w:r>
    </w:p>
    <w:p>
      <w:pPr>
        <w:pStyle w:val="Compact"/>
        <w:numPr>
          <w:ilvl w:val="0"/>
          <w:numId w:val="1001"/>
        </w:numPr>
      </w:pPr>
      <w:r>
        <w:rPr>
          <w:b/>
          <w:bCs/>
        </w:rPr>
        <w:t xml:space="preserve">FY2027 consensus EPS:</w:t>
      </w:r>
      <w:r>
        <w:t xml:space="preserve"> </w:t>
      </w:r>
      <w:r>
        <w:t xml:space="preserve">~$6.42</w:t>
      </w:r>
    </w:p>
    <w:p>
      <w:pPr>
        <w:pStyle w:val="FirstParagraph"/>
      </w:pPr>
      <w:r>
        <w:t xml:space="preserve">ED has beaten Street EPS estimates in three of its last four quarters, but the most recent print (Q1 2026, reported May 7) saw adjusted EPS of</w:t>
      </w:r>
      <w:r>
        <w:t xml:space="preserve"> </w:t>
      </w:r>
      <m:oMath>
        <m:r>
          <m:t>2.18</m:t>
        </m:r>
        <m:r>
          <m:t>c</m:t>
        </m:r>
        <m:r>
          <m:t>o</m:t>
        </m:r>
        <m:r>
          <m:t>m</m:t>
        </m:r>
        <m:r>
          <m:t>e</m:t>
        </m:r>
        <m:r>
          <m:t>i</m:t>
        </m:r>
        <m:r>
          <m:t>n</m:t>
        </m:r>
        <m:r>
          <m:t>b</m:t>
        </m:r>
        <m:r>
          <m:t>e</m:t>
        </m:r>
        <m:r>
          <m:t>l</m:t>
        </m:r>
        <m:r>
          <m:t>o</m:t>
        </m:r>
        <m:r>
          <m:t>w</m:t>
        </m:r>
        <m:r>
          <m:t>b</m:t>
        </m:r>
        <m:r>
          <m:t>o</m:t>
        </m:r>
        <m:r>
          <m:t>t</m:t>
        </m:r>
        <m:r>
          <m:t>h</m:t>
        </m:r>
        <m:r>
          <m:t>t</m:t>
        </m:r>
        <m:r>
          <m:t>h</m:t>
        </m:r>
        <m:r>
          <m:t>e</m:t>
        </m:r>
        <m:r>
          <m:t>p</m:t>
        </m:r>
        <m:r>
          <m:t>r</m:t>
        </m:r>
        <m:r>
          <m:t>i</m:t>
        </m:r>
        <m:r>
          <m:t>o</m:t>
        </m:r>
        <m:r>
          <m:t>r</m:t>
        </m:r>
        <m:r>
          <m:rPr>
            <m:sty m:val="p"/>
          </m:rPr>
          <m:t>−</m:t>
        </m:r>
        <m:r>
          <m:t>y</m:t>
        </m:r>
        <m:r>
          <m:t>e</m:t>
        </m:r>
        <m:r>
          <m:t>a</m:t>
        </m:r>
        <m:r>
          <m:t>r</m:t>
        </m:r>
        <m:r>
          <m:t>f</m:t>
        </m:r>
        <m:r>
          <m:t>i</m:t>
        </m:r>
        <m:r>
          <m:t>g</m:t>
        </m:r>
        <m:r>
          <m:t>u</m:t>
        </m:r>
        <m:r>
          <m:t>r</m:t>
        </m:r>
        <m:r>
          <m:t>e</m:t>
        </m:r>
        <m:r>
          <m:rPr>
            <m:sty m:val="p"/>
          </m:rPr>
          <m:t>(</m:t>
        </m:r>
      </m:oMath>
      <w:r>
        <w:t xml:space="preserve">2.26) and expectations, even though GAAP EPS jumped to $2.55 on a one-time MVP gain — a useful reminder that headline GAAP numbers this cycle are being distorted by portfolio-cleanup transactions (see below).</w:t>
      </w:r>
    </w:p>
    <w:bookmarkEnd w:id="9"/>
    <w:bookmarkStart w:id="10" w:name="Xdc257ad3069e9124bc5fc8003e608f2a7b149ba"/>
    <w:p>
      <w:pPr>
        <w:pStyle w:val="Heading2"/>
      </w:pPr>
      <w:r>
        <w:t xml:space="preserve">2. What Happened Last Quarter (Q1 2026 Recap)</w:t>
      </w:r>
    </w:p>
    <w:p>
      <w:pPr>
        <w:pStyle w:val="FirstParagraph"/>
      </w:pPr>
      <w:r>
        <w:t xml:space="preserve">Con Edison's Q1 2026 net income for common stock was</w:t>
      </w:r>
      <w:r>
        <w:t xml:space="preserve"> </w:t>
      </w:r>
      <m:oMath>
        <m:r>
          <m:t>924</m:t>
        </m:r>
        <m:r>
          <m:t>m</m:t>
        </m:r>
        <m:r>
          <m:t>i</m:t>
        </m:r>
        <m:r>
          <m:t>l</m:t>
        </m:r>
        <m:r>
          <m:t>l</m:t>
        </m:r>
        <m:r>
          <m:t>i</m:t>
        </m:r>
        <m:r>
          <m:t>o</m:t>
        </m:r>
        <m:r>
          <m:t>n</m:t>
        </m:r>
        <m:r>
          <m:rPr>
            <m:sty m:val="p"/>
          </m:rPr>
          <m:t>(</m:t>
        </m:r>
      </m:oMath>
      <w:r>
        <w:t xml:space="preserve">2.55/share GAAP) versus</w:t>
      </w:r>
      <w:r>
        <w:t xml:space="preserve"> </w:t>
      </w:r>
      <m:oMath>
        <m:r>
          <m:t>791</m:t>
        </m:r>
        <m:r>
          <m:t>m</m:t>
        </m:r>
        <m:r>
          <m:t>i</m:t>
        </m:r>
        <m:r>
          <m:t>l</m:t>
        </m:r>
        <m:r>
          <m:t>l</m:t>
        </m:r>
        <m:r>
          <m:t>i</m:t>
        </m:r>
        <m:r>
          <m:t>o</m:t>
        </m:r>
        <m:r>
          <m:t>n</m:t>
        </m:r>
        <m:r>
          <m:rPr>
            <m:sty m:val="p"/>
          </m:rPr>
          <m:t>(</m:t>
        </m:r>
      </m:oMath>
      <w:r>
        <w:t xml:space="preserve">2.26/share) a year earlier, but</w:t>
      </w:r>
      <w:r>
        <w:t xml:space="preserve"> </w:t>
      </w:r>
      <w:r>
        <w:rPr>
          <w:b/>
          <w:bCs/>
        </w:rPr>
        <w:t xml:space="preserve">adjusted (non-GAAP) EPS was $2.18, essentially flat versus $2.26 in Q1 2025</w:t>
      </w:r>
      <w:r>
        <w:t xml:space="preserve">. The GAAP/adjusted gap was driven by a $134 million after-tax gain on the completed sale of Con Edison's ~6.6% equity stake in Mountain Valley Pipeline (MVP) for $357.5 million, which management strips out of adjusted results.</w:t>
      </w:r>
    </w:p>
    <w:p>
      <w:pPr>
        <w:pStyle w:val="BodyText"/>
      </w:pPr>
      <w:r>
        <w:t xml:space="preserve">Underlying utility performance was mixed: higher electric and gas rate base at CECONY added</w:t>
      </w:r>
      <w:r>
        <w:t xml:space="preserve"> </w:t>
      </w:r>
      <w:r>
        <w:t xml:space="preserve">$0.08/share, but this was offset by higher O&amp;M expense (+$</w:t>
      </w:r>
      <w:r>
        <w:t xml:space="preserve">0.08 drag), higher interest expense on long-term debt (-</w:t>
      </w:r>
      <m:oMath>
        <m:r>
          <m:t>0.03</m:t>
        </m:r>
        <m:r>
          <m:rPr>
            <m:sty m:val="p"/>
          </m:rPr>
          <m:t>)</m:t>
        </m:r>
        <m:r>
          <m:rPr>
            <m:sty m:val="p"/>
          </m:rPr>
          <m:t>,</m:t>
        </m:r>
        <m:r>
          <m:t>h</m:t>
        </m:r>
        <m:r>
          <m:t>i</m:t>
        </m:r>
        <m:r>
          <m:t>g</m:t>
        </m:r>
        <m:r>
          <m:t>h</m:t>
        </m:r>
        <m:r>
          <m:t>e</m:t>
        </m:r>
        <m:r>
          <m:t>r</m:t>
        </m:r>
        <m:r>
          <m:t>c</m:t>
        </m:r>
        <m:r>
          <m:t>o</m:t>
        </m:r>
        <m:r>
          <m:t>r</m:t>
        </m:r>
        <m:r>
          <m:t>p</m:t>
        </m:r>
        <m:r>
          <m:t>o</m:t>
        </m:r>
        <m:r>
          <m:t>r</m:t>
        </m:r>
        <m:r>
          <m:t>a</m:t>
        </m:r>
        <m:r>
          <m:t>t</m:t>
        </m:r>
        <m:r>
          <m:t>e</m:t>
        </m:r>
        <m:r>
          <m:t>e</m:t>
        </m:r>
        <m:r>
          <m:t>x</m:t>
        </m:r>
        <m:r>
          <m:t>p</m:t>
        </m:r>
        <m:r>
          <m:t>e</m:t>
        </m:r>
        <m:r>
          <m:t>n</m:t>
        </m:r>
        <m:r>
          <m:t>s</m:t>
        </m:r>
        <m:r>
          <m:t>e</m:t>
        </m:r>
        <m:r>
          <m:t>s</m:t>
        </m:r>
        <m:r>
          <m:rPr>
            <m:sty m:val="p"/>
          </m:rPr>
          <m:t>(</m:t>
        </m:r>
        <m:r>
          <m:rPr>
            <m:sty m:val="p"/>
          </m:rPr>
          <m:t>−</m:t>
        </m:r>
      </m:oMath>
      <w:r>
        <w:t xml:space="preserve">0.01), and continued dilution from equity issuance (-</w:t>
      </w:r>
      <w:r>
        <w:t xml:space="preserve">$0.08). O&amp;R contributed a modest +$</w:t>
      </w:r>
      <w:r>
        <w:t xml:space="preserve">0.01. Management reaffirmed full-year adjusted EPS guidance of</w:t>
      </w:r>
      <w:r>
        <w:t xml:space="preserve"> </w:t>
      </w:r>
      <m:oMath>
        <m:r>
          <m:t>6.00</m:t>
        </m:r>
        <m:r>
          <m:rPr>
            <m:sty m:val="p"/>
          </m:rPr>
          <m:t>–</m:t>
        </m:r>
      </m:oMath>
      <w:r>
        <w:t xml:space="preserve">6.20 despite the soft Q1 adjusted print, citing confidence in the back half of the three-year rate plan.</w:t>
      </w:r>
    </w:p>
    <w:p>
      <w:pPr>
        <w:pStyle w:val="BodyText"/>
      </w:pPr>
      <w:r>
        <w:rPr>
          <w:b/>
          <w:bCs/>
        </w:rPr>
        <w:t xml:space="preserve">Key things to watch repeating in Q2:</w:t>
      </w:r>
      <w:r>
        <w:t xml:space="preserve"> </w:t>
      </w:r>
      <w:r>
        <w:t xml:space="preserve">the same dilution drag from equity issuance (a 7-million-share forward sale settled for $776 million in March, plus a new $2 billion ATM program launched in May) will continue to weigh on per-share growth even as rate base grows; and O&amp;M cost inflation (health care, injuries &amp; damages, insurance) has been a recurring theme investors will want to see moderate.</w:t>
      </w:r>
    </w:p>
    <w:bookmarkEnd w:id="10"/>
    <w:bookmarkStart w:id="11" w:name="Xb2c5970b48a5a39474f0b5142821b6f8cc83aaa"/>
    <w:p>
      <w:pPr>
        <w:pStyle w:val="Heading2"/>
      </w:pPr>
      <w:r>
        <w:t xml:space="preserve">3. Balance Sheet &amp; Financing — The Capital-Intensive Story</w:t>
      </w:r>
    </w:p>
    <w:p>
      <w:pPr>
        <w:pStyle w:val="FirstParagraph"/>
      </w:pPr>
      <w:r>
        <w:t xml:space="preserve">ED remains in the middle of a heavy, multi-year capital program. At year-end guidance (from the Q4/FY2025 release), the company plans capital investments of **$6.6 billion in 2026 and $6.76 billion in 2027, with</w:t>
      </w:r>
      <w:r>
        <w:t xml:space="preserve"> </w:t>
      </w:r>
      <m:oMath>
        <m:r>
          <m:t>24.3</m:t>
        </m:r>
        <m:r>
          <m:t>b</m:t>
        </m:r>
        <m:r>
          <m:t>i</m:t>
        </m:r>
        <m:r>
          <m:t>l</m:t>
        </m:r>
        <m:r>
          <m:t>l</m:t>
        </m:r>
        <m:r>
          <m:t>i</m:t>
        </m:r>
        <m:r>
          <m:t>o</m:t>
        </m:r>
        <m:r>
          <m:t>n</m:t>
        </m:r>
        <m:r>
          <m:t>a</m:t>
        </m:r>
        <m:r>
          <m:t>g</m:t>
        </m:r>
        <m:r>
          <m:t>g</m:t>
        </m:r>
        <m:r>
          <m:t>r</m:t>
        </m:r>
        <m:r>
          <m:t>e</m:t>
        </m:r>
        <m:r>
          <m:t>g</m:t>
        </m:r>
        <m:r>
          <m:t>a</m:t>
        </m:r>
        <m:r>
          <m:t>t</m:t>
        </m:r>
        <m:r>
          <m:t>e</m:t>
        </m:r>
        <m:r>
          <m:t>f</m:t>
        </m:r>
        <m:r>
          <m:t>o</m:t>
        </m:r>
        <m:r>
          <m:t>r</m:t>
        </m:r>
        <m:r>
          <m:t>2028</m:t>
        </m:r>
        <m:r>
          <m:rPr>
            <m:sty m:val="p"/>
          </m:rPr>
          <m:t>–</m:t>
        </m:r>
        <m:r>
          <m:t>2030</m:t>
        </m:r>
        <m:r>
          <m:rPr>
            <m:sty m:val="p"/>
          </m:rPr>
          <m:t>*</m:t>
        </m:r>
        <m:r>
          <m:rPr>
            <m:sty m:val="p"/>
          </m:rPr>
          <m:t>*</m:t>
        </m:r>
        <m:r>
          <m:rPr>
            <m:sty m:val="p"/>
          </m:rPr>
          <m:t>—</m:t>
        </m:r>
        <m:r>
          <m:t>f</m:t>
        </m:r>
        <m:r>
          <m:t>u</m:t>
        </m:r>
        <m:r>
          <m:t>n</m:t>
        </m:r>
        <m:r>
          <m:t>d</m:t>
        </m:r>
        <m:r>
          <m:t>e</m:t>
        </m:r>
        <m:r>
          <m:t>d</m:t>
        </m:r>
        <m:r>
          <m:t>t</m:t>
        </m:r>
        <m:r>
          <m:t>h</m:t>
        </m:r>
        <m:r>
          <m:t>r</m:t>
        </m:r>
        <m:r>
          <m:t>o</m:t>
        </m:r>
        <m:r>
          <m:t>u</m:t>
        </m:r>
        <m:r>
          <m:t>g</m:t>
        </m:r>
        <m:r>
          <m:t>h</m:t>
        </m:r>
        <m:r>
          <m:t>i</m:t>
        </m:r>
        <m:r>
          <m:t>n</m:t>
        </m:r>
        <m:r>
          <m:t>t</m:t>
        </m:r>
        <m:r>
          <m:t>e</m:t>
        </m:r>
        <m:r>
          <m:t>r</m:t>
        </m:r>
        <m:r>
          <m:t>n</m:t>
        </m:r>
        <m:r>
          <m:t>a</m:t>
        </m:r>
        <m:r>
          <m:t>l</m:t>
        </m:r>
        <m:r>
          <m:t>l</m:t>
        </m:r>
        <m:r>
          <m:t>y</m:t>
        </m:r>
        <m:r>
          <m:t>g</m:t>
        </m:r>
        <m:r>
          <m:t>e</m:t>
        </m:r>
        <m:r>
          <m:t>n</m:t>
        </m:r>
        <m:r>
          <m:t>e</m:t>
        </m:r>
        <m:r>
          <m:t>r</m:t>
        </m:r>
        <m:r>
          <m:t>a</m:t>
        </m:r>
        <m:r>
          <m:t>t</m:t>
        </m:r>
        <m:r>
          <m:t>e</m:t>
        </m:r>
        <m:r>
          <m:t>d</m:t>
        </m:r>
        <m:r>
          <m:t>c</m:t>
        </m:r>
        <m:r>
          <m:t>a</m:t>
        </m:r>
        <m:r>
          <m:t>s</m:t>
        </m:r>
        <m:r>
          <m:t>h</m:t>
        </m:r>
        <m:r>
          <m:rPr>
            <m:sty m:val="p"/>
          </m:rPr>
          <m:t>,</m:t>
        </m:r>
        <m:r>
          <m:t>l</m:t>
        </m:r>
        <m:r>
          <m:t>o</m:t>
        </m:r>
        <m:r>
          <m:t>n</m:t>
        </m:r>
        <m:r>
          <m:t>g</m:t>
        </m:r>
        <m:r>
          <m:rPr>
            <m:sty m:val="p"/>
          </m:rPr>
          <m:t>−</m:t>
        </m:r>
        <m:r>
          <m:t>t</m:t>
        </m:r>
        <m:r>
          <m:t>e</m:t>
        </m:r>
        <m:r>
          <m:t>r</m:t>
        </m:r>
        <m:r>
          <m:t>m</m:t>
        </m:r>
        <m:r>
          <m:t>d</m:t>
        </m:r>
        <m:r>
          <m:t>e</m:t>
        </m:r>
        <m:r>
          <m:t>b</m:t>
        </m:r>
        <m:r>
          <m:t>t</m:t>
        </m:r>
        <m:r>
          <m:rPr>
            <m:sty m:val="p"/>
          </m:rPr>
          <m:t>(</m:t>
        </m:r>
        <m:r>
          <m:t> </m:t>
        </m:r>
      </m:oMath>
      <w:r>
        <w:t xml:space="preserve">3.2B planned in 2026 at the Utilities) and common equity (~$1.1B planned in 2026, including the ATM program). This equity-heavy funding mix is precisely what's driving the share-count dilution dragging on per-share growth even as the rate base compounds. Investors should watch for updated capex/financing guidance and any commentary on how the company balances growth funding against dilution.</w:t>
      </w:r>
    </w:p>
    <w:p>
      <w:pPr>
        <w:pStyle w:val="BodyText"/>
      </w:pPr>
      <w:r>
        <w:t xml:space="preserve">On the balance sheet, Con Edison's common equity ratio improved to 50.0% at March 31, 2026 from 48.6% at year-end 2025, and the company refinanced into a new $3.5 billion revolving credit facility in March 2026 (replacing prior facilities), with no borrowings outstanding under it as of Q1. CECONY also prepaid a $500 million term loan early in Q1. Watch for updated commercial paper balances and any credit-rating commentary, given rising short-term financing needs tied to elevated capex and slow-recovering aged receivables.</w:t>
      </w:r>
    </w:p>
    <w:bookmarkEnd w:id="11"/>
    <w:bookmarkStart w:id="12" w:name="X7b2893a2d568ab3f471c8c44425467b9e28b706"/>
    <w:p>
      <w:pPr>
        <w:pStyle w:val="Heading2"/>
      </w:pPr>
      <w:r>
        <w:t xml:space="preserve">4. Portfolio Simplification: MVP and Honeoye Exits</w:t>
      </w:r>
    </w:p>
    <w:p>
      <w:pPr>
        <w:pStyle w:val="FirstParagraph"/>
      </w:pPr>
      <w:r>
        <w:t xml:space="preserve">Con Edison has been unwinding its non-core equity investments. The MVP sale closed in Q1 2026 for total consideration of $357.5 million. In April 2026, CECONY and Con Edison Transmission also agreed to sell their combined interest in Honeoye Storage Corporation for just $5 million in aggregate (pending NYSPSC approval) — a small, cleanup transaction that nonetheless signals continued focus on the core regulated New York/New Jersey utility franchise rather than merchant pipeline/storage assets. Expect these divestitures to be non-repeating and non-core to the ongoing earnings run-rate story, but they will keep showing up as GAAP-to-adjusted reconciling items this year.</w:t>
      </w:r>
    </w:p>
    <w:bookmarkEnd w:id="12"/>
    <w:bookmarkStart w:id="13" w:name="X315d2d5aa5dcd29b06ad721b591a4c2714668ad"/>
    <w:p>
      <w:pPr>
        <w:pStyle w:val="Heading2"/>
      </w:pPr>
      <w:r>
        <w:t xml:space="preserve">5. Regulatory Backdrop — The Real Earnings Driver</w:t>
      </w:r>
    </w:p>
    <w:p>
      <w:pPr>
        <w:pStyle w:val="FirstParagraph"/>
      </w:pPr>
      <w:r>
        <w:t xml:space="preserve">As a rate-regulated utility, ED's earnings power is fundamentally a function of rate base growth and allowed ROE, and there are several live regulatory threads to track:</w:t>
      </w:r>
    </w:p>
    <w:p>
      <w:pPr>
        <w:pStyle w:val="Compact"/>
        <w:numPr>
          <w:ilvl w:val="0"/>
          <w:numId w:val="1002"/>
        </w:numPr>
      </w:pPr>
      <w:r>
        <w:rPr>
          <w:b/>
          <w:bCs/>
        </w:rPr>
        <w:t xml:space="preserve">CECONY Steam Rate Case:</w:t>
      </w:r>
      <w:r>
        <w:t xml:space="preserve"> </w:t>
      </w:r>
      <w:r>
        <w:t xml:space="preserve">Filed November 2025 for a $66 million increase (9.9% ROE, 48% equity ratio) effective November 2026. NYSDPS staff testimony in March 2026 recommended a smaller $18 million increase with a 9.3% ROE — a gap investors should watch for signs of settlement risk on this smaller but still relevant business line.</w:t>
      </w:r>
    </w:p>
    <w:p>
      <w:pPr>
        <w:pStyle w:val="Compact"/>
        <w:numPr>
          <w:ilvl w:val="0"/>
          <w:numId w:val="1002"/>
        </w:numPr>
      </w:pPr>
      <w:r>
        <w:rPr>
          <w:b/>
          <w:bCs/>
        </w:rPr>
        <w:t xml:space="preserve">Electric/Gas Rate Plans:</w:t>
      </w:r>
      <w:r>
        <w:t xml:space="preserve"> </w:t>
      </w:r>
      <w:r>
        <w:t xml:space="preserve">CECONY's current multi-year gas rate plan (2026–2028) and O&amp;R's plan (2025–2027) are in place, providing revenue decoupling that insulates delivery revenue from weather/volume swings — a key reason ED's quarterly results are less volatility-prone than commodity-exposed peers.</w:t>
      </w:r>
    </w:p>
    <w:p>
      <w:pPr>
        <w:pStyle w:val="Compact"/>
        <w:numPr>
          <w:ilvl w:val="0"/>
          <w:numId w:val="1002"/>
        </w:numPr>
      </w:pPr>
      <w:r>
        <w:rPr>
          <w:b/>
          <w:bCs/>
        </w:rPr>
        <w:t xml:space="preserve">Gas/Steam Weld Matter:</w:t>
      </w:r>
      <w:r>
        <w:t xml:space="preserve"> </w:t>
      </w:r>
      <w:r>
        <w:t xml:space="preserve">An ongoing NYSDPS investigation into non-conforming gas and steam main welds (discovered following a 2023 Queens gas leak) remains unresolved; CECONY has $100 million of gas revenue subject to potential refund from 2026-2028 tied to this matter. Two contractor employees were indicted in August 2025 for fraud related to the weld films.</w:t>
      </w:r>
    </w:p>
    <w:p>
      <w:pPr>
        <w:pStyle w:val="Compact"/>
        <w:numPr>
          <w:ilvl w:val="0"/>
          <w:numId w:val="1002"/>
        </w:numPr>
      </w:pPr>
      <w:r>
        <w:rPr>
          <w:b/>
          <w:bCs/>
        </w:rPr>
        <w:t xml:space="preserve">NYSPSC Income Tax Audit:</w:t>
      </w:r>
      <w:r>
        <w:t xml:space="preserve"> </w:t>
      </w:r>
      <w:r>
        <w:t xml:space="preserve">A long-running audit into historical understatement of income tax expense for ratemaking has left CECONY and O&amp;R carrying roughly $1.04 billion in regulatory assets not currently earning a return — a modest but persistent drag management is trying to resolve via IRS private letter ruling.</w:t>
      </w:r>
    </w:p>
    <w:p>
      <w:pPr>
        <w:pStyle w:val="Compact"/>
        <w:numPr>
          <w:ilvl w:val="0"/>
          <w:numId w:val="1002"/>
        </w:numPr>
      </w:pPr>
      <w:r>
        <w:rPr>
          <w:b/>
          <w:bCs/>
        </w:rPr>
        <w:t xml:space="preserve">NYC Grid Reliability:</w:t>
      </w:r>
      <w:r>
        <w:t xml:space="preserve"> </w:t>
      </w:r>
      <w:r>
        <w:t xml:space="preserve">NYISO's April 2026 assessment flagged reliability needs in New York City starting summer 2026 through 2030, driven by generator deactivations and rising peak demand — a dynamic that supports the long-term investment (and rate base growth) narrative even as it raises near-term system stress risk during peak summer months (directly relevant to a Q2/summer-heavy print).</w:t>
      </w:r>
    </w:p>
    <w:bookmarkEnd w:id="13"/>
    <w:bookmarkStart w:id="14" w:name="X802feb69c0eadb37e20310b3296954413398aac"/>
    <w:p>
      <w:pPr>
        <w:pStyle w:val="Heading2"/>
      </w:pPr>
      <w:r>
        <w:t xml:space="preserve">6. Dividend &amp; Capital Return</w:t>
      </w:r>
    </w:p>
    <w:p>
      <w:pPr>
        <w:pStyle w:val="FirstParagraph"/>
      </w:pPr>
      <w:r>
        <w:t xml:space="preserve">Con Edison recently extended its dividend growth streak to</w:t>
      </w:r>
      <w:r>
        <w:t xml:space="preserve"> </w:t>
      </w:r>
      <w:r>
        <w:rPr>
          <w:b/>
          <w:bCs/>
        </w:rPr>
        <w:t xml:space="preserve">52 consecutive years</w:t>
      </w:r>
      <w:r>
        <w:t xml:space="preserve">, raising the quarterly dividend to $0.8875/share (a 4.4% annualized increase, declared July 2026, payable September 15). Management targets a 55–65% payout ratio of adjusted earnings and has guided to a 5-year adjusted EPS CAGR of 6–7% off the 2026 guidance midpoint — the central long-term thesis for income-oriented holders of the stock. Watch for any commentary reaffirming this long-term growth algorithm on the call.</w:t>
      </w:r>
    </w:p>
    <w:bookmarkEnd w:id="14"/>
    <w:bookmarkStart w:id="15" w:name="X0998557fbb4eadba825fc4998414d4abc9f441d"/>
    <w:p>
      <w:pPr>
        <w:pStyle w:val="Heading2"/>
      </w:pPr>
      <w:r>
        <w:t xml:space="preserve">7. Key Questions for the Call</w:t>
      </w:r>
    </w:p>
    <w:p>
      <w:pPr>
        <w:pStyle w:val="Compact"/>
        <w:numPr>
          <w:ilvl w:val="0"/>
          <w:numId w:val="1003"/>
        </w:numPr>
      </w:pPr>
      <w:r>
        <w:rPr>
          <w:b/>
          <w:bCs/>
        </w:rPr>
        <w:t xml:space="preserve">Guidance reaffirmation:</w:t>
      </w:r>
      <w:r>
        <w:t xml:space="preserve"> </w:t>
      </w:r>
      <w:r>
        <w:t xml:space="preserve">Will management reiterate the</w:t>
      </w:r>
      <w:r>
        <w:t xml:space="preserve"> </w:t>
      </w:r>
      <m:oMath>
        <m:r>
          <m:t>6.00</m:t>
        </m:r>
        <m:r>
          <m:rPr>
            <m:sty m:val="p"/>
          </m:rPr>
          <m:t>–</m:t>
        </m:r>
      </m:oMath>
      <w:r>
        <w:t xml:space="preserve">6.20 FY2026 adjusted EPS range, and how confident are they in hitting the top vs. bottom of that band after a soft Q1 adjusted print?</w:t>
      </w:r>
    </w:p>
    <w:p>
      <w:pPr>
        <w:pStyle w:val="Compact"/>
        <w:numPr>
          <w:ilvl w:val="0"/>
          <w:numId w:val="1003"/>
        </w:numPr>
      </w:pPr>
      <w:r>
        <w:rPr>
          <w:b/>
          <w:bCs/>
        </w:rPr>
        <w:t xml:space="preserve">O&amp;M cost trends:</w:t>
      </w:r>
      <w:r>
        <w:t xml:space="preserve"> </w:t>
      </w:r>
      <w:r>
        <w:t xml:space="preserve">Health care costs, injuries &amp; damages, and other O&amp;M pressures dented Q1 results — is there visibility on moderation in H2?</w:t>
      </w:r>
    </w:p>
    <w:p>
      <w:pPr>
        <w:pStyle w:val="Compact"/>
        <w:numPr>
          <w:ilvl w:val="0"/>
          <w:numId w:val="1003"/>
        </w:numPr>
      </w:pPr>
      <w:r>
        <w:rPr>
          <w:b/>
          <w:bCs/>
        </w:rPr>
        <w:t xml:space="preserve">Dilution trajectory:</w:t>
      </w:r>
      <w:r>
        <w:t xml:space="preserve"> </w:t>
      </w:r>
      <w:r>
        <w:t xml:space="preserve">With a new $2B ATM program layered on top of the March forward-sale settlement, how should investors model share count growth for the rest of 2026–2027, and does it change the EPS growth cadence?</w:t>
      </w:r>
    </w:p>
    <w:p>
      <w:pPr>
        <w:pStyle w:val="Compact"/>
        <w:numPr>
          <w:ilvl w:val="0"/>
          <w:numId w:val="1003"/>
        </w:numPr>
      </w:pPr>
      <w:r>
        <w:rPr>
          <w:b/>
          <w:bCs/>
        </w:rPr>
        <w:t xml:space="preserve">Rate case settlement risk:</w:t>
      </w:r>
      <w:r>
        <w:t xml:space="preserve"> </w:t>
      </w:r>
      <w:r>
        <w:t xml:space="preserve">Any update on steam rate case negotiations given the wide gap between CECONY's $66M ask and NYSDPS staff's $18M recommendation?</w:t>
      </w:r>
    </w:p>
    <w:p>
      <w:pPr>
        <w:pStyle w:val="Compact"/>
        <w:numPr>
          <w:ilvl w:val="0"/>
          <w:numId w:val="1003"/>
        </w:numPr>
      </w:pPr>
      <w:r>
        <w:rPr>
          <w:b/>
          <w:bCs/>
        </w:rPr>
        <w:t xml:space="preserve">Reliability/capex:</w:t>
      </w:r>
      <w:r>
        <w:t xml:space="preserve"> </w:t>
      </w:r>
      <w:r>
        <w:t xml:space="preserve">Given NYISO's flagged NYC reliability needs through 2030, is there any incremental capex or timeline acceleration beyond the $24.3B 2028-2030 aggregate plan?</w:t>
      </w:r>
    </w:p>
    <w:p>
      <w:pPr>
        <w:pStyle w:val="Compact"/>
        <w:numPr>
          <w:ilvl w:val="0"/>
          <w:numId w:val="1003"/>
        </w:numPr>
      </w:pPr>
      <w:r>
        <w:rPr>
          <w:b/>
          <w:bCs/>
        </w:rPr>
        <w:t xml:space="preserve">Weld investigation and tax audit:</w:t>
      </w:r>
      <w:r>
        <w:t xml:space="preserve"> </w:t>
      </w:r>
      <w:r>
        <w:t xml:space="preserve">Any progress or new disclosure on these lingering regulatory contingencies?</w:t>
      </w:r>
    </w:p>
    <w:bookmarkEnd w:id="15"/>
    <w:bookmarkStart w:id="16" w:name="X59a56c4de27670f2623d3582f339eb306b624b0"/>
    <w:p>
      <w:pPr>
        <w:pStyle w:val="Heading2"/>
      </w:pPr>
      <w:r>
        <w:t xml:space="preserve">8. Bottom Line</w:t>
      </w:r>
    </w:p>
    <w:p>
      <w:pPr>
        <w:pStyle w:val="FirstParagraph"/>
      </w:pPr>
      <w:r>
        <w:t xml:space="preserve">ED remains a low-volatility, regulated-utility compounder whose quarterly results are driven far more by rate base growth, allowed ROE, and financing mix than by weather or commodity swings (thanks to decoupling mechanisms). The Q2 print itself is unlikely to be a major surprise generator — consensus expects a clean ~11% y/y EPS increase to ~</w:t>
      </w:r>
      <m:oMath>
        <m:r>
          <m:t>0.74</m:t>
        </m:r>
        <m:r>
          <m:rPr>
            <m:sty m:val="p"/>
          </m:rPr>
          <m:t>–</m:t>
        </m:r>
      </m:oMath>
      <w:r>
        <w:t xml:space="preserve">0.75 — but investors should focus less on the headline beat/miss and more on: (1) whether management reaffirms full-year guidance and the 6–7% five-year EPS CAGR target, (2) the trajectory of O&amp;M cost pressures and dilution from ongoing equity issuance, and (3) any incremental color on New York's regulatory and reliability backdrop that underpins the multi-year, multi-billion-dollar capital program.</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2026-08-06T01:22:40Z</dcterms:created>
  <dcterms:modified xsi:type="dcterms:W3CDTF">2026-08-06T01:22:40Z</dcterms:modified>
</cp:coreProperties>
</file>

<file path=docProps/custom.xml><?xml version="1.0" encoding="utf-8"?>
<Properties xmlns="http://schemas.openxmlformats.org/officeDocument/2006/custom-properties" xmlns:vt="http://schemas.openxmlformats.org/officeDocument/2006/docPropsVTypes"/>
</file>