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d-earnings-predictions--2026-08-06"/>
    <w:p>
      <w:pPr>
        <w:pStyle w:val="Heading1"/>
      </w:pPr>
      <w:r>
        <w:t xml:space="preserve">ED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~$0.73 vs. cons $0.75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~$3.59B vs. cons $3.60B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CECONY adjusted EPS contribution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~$0.66 vs. cons $0.68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~$6.10 midpoint vs. cons $6.09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Utility capital investment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~$6.53B vs. cons $6.53B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Common-equity issuance plan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up to ~$1.10B vs. cons $1.10B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-1.9% (FOLLOW-THROUGH)</w:t>
            </w:r>
          </w:p>
        </w:tc>
        <w:tc>
          <w:tcPr/>
          <w:p>
            <w:pPr>
              <w:pStyle w:val="Compact"/>
            </w:pPr>
            <w:r>
              <w:t xml:space="preserve">A ~$0.73 Q2 result versus $0.75 consensus leaves first-half adjusted EPS near $2.91 and requires roughly $3.19 in second-half EPS to reach the $6.10 guidance midpoint, versus approximately $3.16 previously embedded in consensus; that out-period burden should drive modest estimate reductions after the initial miss.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2026-08-06T01:25:08Z</dcterms:created>
  <dcterms:modified xsi:type="dcterms:W3CDTF">2026-08-06T01:25:08Z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