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eaa93ed5eb1bc6a5bd44e7d7d5cce6b1f1c6caf"/>
    <w:p>
      <w:pPr>
        <w:pStyle w:val="Heading1"/>
      </w:pPr>
      <w:r>
        <w:t xml:space="preserve">Consolidated Edison (NYSE: ED) — Q2 2026 Earnings Preview</w:t>
      </w:r>
    </w:p>
    <w:p>
      <w:pPr>
        <w:pStyle w:val="BlockText"/>
      </w:pPr>
      <w:r>
        <w:rPr>
          <w:b/>
          <w:bCs/>
        </w:rPr>
        <w:t xml:space="preserve">Timing clarification:</w:t>
      </w:r>
      <w:r>
        <w:t xml:space="preserve"> </w:t>
      </w:r>
      <w:r>
        <w:t xml:space="preserve">Con Edison is scheduled to report</w:t>
      </w:r>
      <w:r>
        <w:t xml:space="preserve"> </w:t>
      </w:r>
      <w:r>
        <w:rPr>
          <w:b/>
          <w:bCs/>
        </w:rPr>
        <w:t xml:space="preserve">today, Thursday, August 6, 2026, after the market closes</w:t>
      </w:r>
      <w:r>
        <w:t xml:space="preserve">—not tomorrow. (</w:t>
      </w:r>
      <w:hyperlink r:id="rId9">
        <w:r>
          <w:rPr>
            <w:rStyle w:val="Hyperlink"/>
          </w:rPr>
          <w:t xml:space="preserve">investor.conedison.com</w:t>
        </w:r>
      </w:hyperlink>
      <w:r>
        <w:t xml:space="preserve">)</w:t>
      </w:r>
    </w:p>
    <w:bookmarkStart w:id="10" w:name="executive-view"/>
    <w:p>
      <w:pPr>
        <w:pStyle w:val="Heading2"/>
      </w:pPr>
      <w:r>
        <w:t xml:space="preserve">Executive view</w:t>
      </w:r>
    </w:p>
    <w:p>
      <w:pPr>
        <w:pStyle w:val="FirstParagraph"/>
      </w:pPr>
      <w:r>
        <w:t xml:space="preserve">For ED, the headline Q2 EPS figure is less important than three broader questions:</w:t>
      </w:r>
    </w:p>
    <w:p>
      <w:pPr>
        <w:pStyle w:val="Compact"/>
        <w:numPr>
          <w:ilvl w:val="0"/>
          <w:numId w:val="1001"/>
        </w:numPr>
      </w:pPr>
      <w:r>
        <w:rPr>
          <w:b/>
          <w:bCs/>
        </w:rPr>
        <w:t xml:space="preserve">Can management reaffirm or improve its</w:t>
      </w:r>
      <w:r>
        <w:rPr>
          <w:b/>
          <w:bCs/>
        </w:rPr>
        <w:t xml:space="preserve"> </w:t>
      </w:r>
      <m:oMath>
        <m:r>
          <m:t>6.00</m:t>
        </m:r>
        <m:r>
          <m:rPr>
            <m:sty m:val="p"/>
          </m:rPr>
          <m:t>–</m:t>
        </m:r>
      </m:oMath>
      <w:r>
        <w:rPr>
          <w:b/>
          <w:bCs/>
        </w:rPr>
        <w:t xml:space="preserve">6.20 full-year adjusted EPS guidance?</w:t>
      </w:r>
    </w:p>
    <w:p>
      <w:pPr>
        <w:pStyle w:val="Compact"/>
        <w:numPr>
          <w:ilvl w:val="0"/>
          <w:numId w:val="1001"/>
        </w:numPr>
      </w:pPr>
      <w:r>
        <w:rPr>
          <w:b/>
          <w:bCs/>
        </w:rPr>
        <w:t xml:space="preserve">Are rate-base growth and new rates overcoming higher operating costs, interest expense, and share dilution?</w:t>
      </w:r>
    </w:p>
    <w:p>
      <w:pPr>
        <w:pStyle w:val="Compact"/>
        <w:numPr>
          <w:ilvl w:val="0"/>
          <w:numId w:val="1001"/>
        </w:numPr>
      </w:pPr>
      <w:r>
        <w:rPr>
          <w:b/>
          <w:bCs/>
        </w:rPr>
        <w:t xml:space="preserve">Did July’s severe heat and outage activity materially affect costs, regulatory risk, or the capital plan?</w:t>
      </w:r>
    </w:p>
    <w:p>
      <w:pPr>
        <w:pStyle w:val="FirstParagraph"/>
      </w:pPr>
      <w:r>
        <w:t xml:space="preserve">A quarter near consensus accompanied by an uncomplicated guidance reaffirmation would probably be sufficient. The more bullish outcome would combine an EPS beat with confidence toward the upper half of guidance and evidence that operating expenses are normalizing. Conversely, lower-end guidance language, additional equity needs, or unexpectedly high reliability-related costs would be the main downside risks.</w:t>
      </w:r>
    </w:p>
    <w:bookmarkEnd w:id="10"/>
    <w:bookmarkStart w:id="12" w:name="expectations-and-market-setup"/>
    <w:p>
      <w:pPr>
        <w:pStyle w:val="Heading2"/>
      </w:pPr>
      <w:r>
        <w:t xml:space="preserve">Expectations and market setup</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expectation/context</w:t>
            </w:r>
          </w:p>
        </w:tc>
      </w:tr>
      <w:tr>
        <w:tc>
          <w:tcPr/>
          <w:p>
            <w:pPr>
              <w:pStyle w:val="Compact"/>
            </w:pPr>
            <w:r>
              <w:t xml:space="preserve">Q2 adjusted EPS consensus</w:t>
            </w:r>
          </w:p>
        </w:tc>
        <w:tc>
          <w:tcPr/>
          <w:p>
            <w:pPr>
              <w:pStyle w:val="Compact"/>
              <w:jc w:val="right"/>
            </w:pPr>
            <w:r>
              <w:t xml:space="preserve">Approximately</w:t>
            </w:r>
            <w:r>
              <w:t xml:space="preserve"> </w:t>
            </w:r>
            <m:oMath>
              <m:r>
                <m:t>0.74</m:t>
              </m:r>
              <m:r>
                <m:rPr>
                  <m:sty m:val="p"/>
                </m:rPr>
                <m:t>–</m:t>
              </m:r>
            </m:oMath>
            <w:r>
              <w:rPr>
                <w:b/>
                <w:bCs/>
              </w:rPr>
              <w:t xml:space="preserve">0.76</w:t>
            </w:r>
          </w:p>
        </w:tc>
      </w:tr>
      <w:tr>
        <w:tc>
          <w:tcPr/>
          <w:p>
            <w:pPr>
              <w:pStyle w:val="Compact"/>
            </w:pPr>
            <w:r>
              <w:t xml:space="preserve">Q2 2025 adjusted EPS</w:t>
            </w:r>
          </w:p>
        </w:tc>
        <w:tc>
          <w:tcPr/>
          <w:p>
            <w:pPr>
              <w:pStyle w:val="Compact"/>
              <w:jc w:val="right"/>
            </w:pPr>
            <w:r>
              <w:rPr>
                <w:b/>
                <w:bCs/>
              </w:rPr>
              <w:t xml:space="preserve">$0.67</w:t>
            </w:r>
          </w:p>
        </w:tc>
      </w:tr>
      <w:tr>
        <w:tc>
          <w:tcPr/>
          <w:p>
            <w:pPr>
              <w:pStyle w:val="Compact"/>
            </w:pPr>
            <w:r>
              <w:t xml:space="preserve">Implied adjusted EPS growth</w:t>
            </w:r>
          </w:p>
        </w:tc>
        <w:tc>
          <w:tcPr/>
          <w:p>
            <w:pPr>
              <w:pStyle w:val="Compact"/>
              <w:jc w:val="right"/>
            </w:pPr>
            <w:r>
              <w:t xml:space="preserve">Roughly</w:t>
            </w:r>
            <w:r>
              <w:t xml:space="preserve"> </w:t>
            </w:r>
            <w:r>
              <w:rPr>
                <w:b/>
                <w:bCs/>
              </w:rPr>
              <w:t xml:space="preserve">10%–13%</w:t>
            </w:r>
          </w:p>
        </w:tc>
      </w:tr>
      <w:tr>
        <w:tc>
          <w:tcPr/>
          <w:p>
            <w:pPr>
              <w:pStyle w:val="Compact"/>
            </w:pPr>
            <w:r>
              <w:t xml:space="preserve">Revenue consensus</w:t>
            </w:r>
          </w:p>
        </w:tc>
        <w:tc>
          <w:tcPr/>
          <w:p>
            <w:pPr>
              <w:pStyle w:val="Compact"/>
              <w:jc w:val="right"/>
            </w:pPr>
            <w:r>
              <w:t xml:space="preserve">Approximately</w:t>
            </w:r>
            <w:r>
              <w:t xml:space="preserve"> </w:t>
            </w:r>
            <m:oMath>
              <m:r>
                <m:t>3.5</m:t>
              </m:r>
              <m:r>
                <m:rPr>
                  <m:sty m:val="p"/>
                </m:rPr>
                <m:t>–</m:t>
              </m:r>
            </m:oMath>
            <w:r>
              <w:rPr>
                <w:b/>
                <w:bCs/>
              </w:rPr>
              <w:t xml:space="preserve">3.6 billion</w:t>
            </w:r>
          </w:p>
        </w:tc>
      </w:tr>
      <w:tr>
        <w:tc>
          <w:tcPr/>
          <w:p>
            <w:pPr>
              <w:pStyle w:val="Compact"/>
            </w:pPr>
            <w:r>
              <w:t xml:space="preserve">2026 adjusted EPS guidance</w:t>
            </w:r>
          </w:p>
        </w:tc>
        <w:tc>
          <w:tcPr/>
          <w:p>
            <w:pPr>
              <w:pStyle w:val="Compact"/>
              <w:jc w:val="right"/>
            </w:pPr>
            <m:oMath>
              <m:r>
                <m:t>6.00</m:t>
              </m:r>
              <m:r>
                <m:rPr>
                  <m:sty m:val="p"/>
                </m:rPr>
                <m:t>–</m:t>
              </m:r>
            </m:oMath>
            <w:r>
              <w:rPr>
                <w:b/>
                <w:bCs/>
              </w:rPr>
              <w:t xml:space="preserve">6.20</w:t>
            </w:r>
          </w:p>
        </w:tc>
      </w:tr>
      <w:tr>
        <w:tc>
          <w:tcPr/>
          <w:p>
            <w:pPr>
              <w:pStyle w:val="Compact"/>
            </w:pPr>
            <w:r>
              <w:t xml:space="preserve">2026 consensus EPS</w:t>
            </w:r>
          </w:p>
        </w:tc>
        <w:tc>
          <w:tcPr/>
          <w:p>
            <w:pPr>
              <w:pStyle w:val="Compact"/>
              <w:jc w:val="right"/>
            </w:pPr>
            <w:r>
              <w:t xml:space="preserve">About</w:t>
            </w:r>
            <w:r>
              <w:t xml:space="preserve"> </w:t>
            </w:r>
            <w:r>
              <w:rPr>
                <w:b/>
                <w:bCs/>
              </w:rPr>
              <w:t xml:space="preserve">$6.09</w:t>
            </w:r>
          </w:p>
        </w:tc>
      </w:tr>
      <w:tr>
        <w:tc>
          <w:tcPr/>
          <w:p>
            <w:pPr>
              <w:pStyle w:val="Compact"/>
            </w:pPr>
            <w:r>
              <w:t xml:space="preserve">August 5 closing price</w:t>
            </w:r>
          </w:p>
        </w:tc>
        <w:tc>
          <w:tcPr/>
          <w:p>
            <w:pPr>
              <w:pStyle w:val="Compact"/>
              <w:jc w:val="right"/>
            </w:pPr>
            <w:r>
              <w:rPr>
                <w:b/>
                <w:bCs/>
              </w:rPr>
              <w:t xml:space="preserve">$108.35</w:t>
            </w:r>
          </w:p>
        </w:tc>
      </w:tr>
      <w:tr>
        <w:tc>
          <w:tcPr/>
          <w:p>
            <w:pPr>
              <w:pStyle w:val="Compact"/>
            </w:pPr>
            <w:r>
              <w:t xml:space="preserve">Valuation at guidance midpoint</w:t>
            </w:r>
          </w:p>
        </w:tc>
        <w:tc>
          <w:tcPr/>
          <w:p>
            <w:pPr>
              <w:pStyle w:val="Compact"/>
              <w:jc w:val="right"/>
            </w:pPr>
            <w:r>
              <w:t xml:space="preserve">Approximately</w:t>
            </w:r>
            <w:r>
              <w:t xml:space="preserve"> </w:t>
            </w:r>
            <w:r>
              <w:rPr>
                <w:b/>
                <w:bCs/>
              </w:rPr>
              <w:t xml:space="preserve">17.8x</w:t>
            </w:r>
          </w:p>
        </w:tc>
      </w:tr>
      <w:tr>
        <w:tc>
          <w:tcPr/>
          <w:p>
            <w:pPr>
              <w:pStyle w:val="Compact"/>
            </w:pPr>
            <w:r>
              <w:t xml:space="preserve">Annualized dividend</w:t>
            </w:r>
          </w:p>
        </w:tc>
        <w:tc>
          <w:tcPr/>
          <w:p>
            <w:pPr>
              <w:pStyle w:val="Compact"/>
              <w:jc w:val="right"/>
            </w:pPr>
            <w:r>
              <w:rPr>
                <w:b/>
                <w:bCs/>
              </w:rPr>
              <w:t xml:space="preserve">$3.55 per share</w:t>
            </w:r>
          </w:p>
        </w:tc>
      </w:tr>
      <w:tr>
        <w:tc>
          <w:tcPr/>
          <w:p>
            <w:pPr>
              <w:pStyle w:val="Compact"/>
            </w:pPr>
            <w:r>
              <w:t xml:space="preserve">Indicated dividend yield</w:t>
            </w:r>
          </w:p>
        </w:tc>
        <w:tc>
          <w:tcPr/>
          <w:p>
            <w:pPr>
              <w:pStyle w:val="Compact"/>
              <w:jc w:val="right"/>
            </w:pPr>
            <w:r>
              <w:t xml:space="preserve">Approximately</w:t>
            </w:r>
            <w:r>
              <w:t xml:space="preserve"> </w:t>
            </w:r>
            <w:r>
              <w:rPr>
                <w:b/>
                <w:bCs/>
              </w:rPr>
              <w:t xml:space="preserve">3.3%</w:t>
            </w:r>
          </w:p>
        </w:tc>
      </w:tr>
    </w:tbl>
    <w:p>
      <w:pPr>
        <w:pStyle w:val="BodyText"/>
      </w:pPr>
      <w:r>
        <w:t xml:space="preserve">Published estimates differ slightly by provider: Barchart shows a $0.74 average EPS estimate, while Benzinga and MarketBeat indicate roughly $0.76. Revenue estimates range from about $3.46 billion to $3.60 billion. (</w:t>
      </w:r>
      <w:hyperlink r:id="rId11">
        <w:r>
          <w:rPr>
            <w:rStyle w:val="Hyperlink"/>
          </w:rPr>
          <w:t xml:space="preserve">benzinga.com</w:t>
        </w:r>
      </w:hyperlink>
      <w:r>
        <w:t xml:space="preserve">)</w:t>
      </w:r>
    </w:p>
    <w:p>
      <w:pPr>
        <w:pStyle w:val="BodyText"/>
      </w:pPr>
      <w:r>
        <w:t xml:space="preserve">Revenue is a secondary indicator for ED because regulated revenue-decoupling, weather-normalization, and commodity-cost recovery mechanisms reduce the connection between reported revenue, delivery volumes, and underlying profitability. Investors should focus primarily on adjusted EPS, regulated returns, expense execution, financing, and guidance.</w:t>
      </w:r>
    </w:p>
    <w:bookmarkEnd w:id="12"/>
    <w:bookmarkStart w:id="13" w:name="what-happened-in-q1"/>
    <w:p>
      <w:pPr>
        <w:pStyle w:val="Heading2"/>
      </w:pPr>
      <w:r>
        <w:t xml:space="preserve">What happened in Q1</w:t>
      </w:r>
    </w:p>
    <w:p>
      <w:pPr>
        <w:pStyle w:val="FirstParagraph"/>
      </w:pPr>
      <w:r>
        <w:t xml:space="preserve">Con Edison reported Q1 adjusted EPS of</w:t>
      </w:r>
      <w:r>
        <w:t xml:space="preserve"> </w:t>
      </w:r>
      <w:r>
        <w:rPr>
          <w:b/>
          <w:bCs/>
        </w:rPr>
        <w:t xml:space="preserve">$2.18</w:t>
      </w:r>
      <w:r>
        <w:t xml:space="preserve">, down from $2.26 a year earlier and below the roughly</w:t>
      </w:r>
      <w:r>
        <w:t xml:space="preserve"> </w:t>
      </w:r>
      <m:oMath>
        <m:r>
          <m:t>2.28</m:t>
        </m:r>
        <m:r>
          <m:t>c</m:t>
        </m:r>
        <m:r>
          <m:t>o</m:t>
        </m:r>
        <m:r>
          <m:t>n</m:t>
        </m:r>
        <m:r>
          <m:t>s</m:t>
        </m:r>
        <m:r>
          <m:t>e</m:t>
        </m:r>
        <m:r>
          <m:t>n</m:t>
        </m:r>
        <m:r>
          <m:t>s</m:t>
        </m:r>
        <m:r>
          <m:t>u</m:t>
        </m:r>
        <m:r>
          <m:t>s</m:t>
        </m:r>
        <m:r>
          <m:t>e</m:t>
        </m:r>
        <m:r>
          <m:t>s</m:t>
        </m:r>
        <m:r>
          <m:t>t</m:t>
        </m:r>
        <m:r>
          <m:t>i</m:t>
        </m:r>
        <m:r>
          <m:t>m</m:t>
        </m:r>
        <m:r>
          <m:t>a</m:t>
        </m:r>
        <m:r>
          <m:t>t</m:t>
        </m:r>
        <m:r>
          <m:t>e</m:t>
        </m:r>
        <m:r>
          <m:rPr>
            <m:sty m:val="p"/>
          </m:rPr>
          <m:t>.</m:t>
        </m:r>
        <m:r>
          <m:t>T</m:t>
        </m:r>
        <m:r>
          <m:t>h</m:t>
        </m:r>
        <m:r>
          <m:t>e</m:t>
        </m:r>
        <m:r>
          <m:t>c</m:t>
        </m:r>
        <m:r>
          <m:t>o</m:t>
        </m:r>
        <m:r>
          <m:t>m</m:t>
        </m:r>
        <m:r>
          <m:t>p</m:t>
        </m:r>
        <m:r>
          <m:t>a</m:t>
        </m:r>
        <m:r>
          <m:t>n</m:t>
        </m:r>
        <m:r>
          <m:t>y</m:t>
        </m:r>
        <m:r>
          <m:t>n</m:t>
        </m:r>
        <m:r>
          <m:t>e</m:t>
        </m:r>
        <m:r>
          <m:t>v</m:t>
        </m:r>
        <m:r>
          <m:t>e</m:t>
        </m:r>
        <m:r>
          <m:t>r</m:t>
        </m:r>
        <m:r>
          <m:t>t</m:t>
        </m:r>
        <m:r>
          <m:t>h</m:t>
        </m:r>
        <m:r>
          <m:t>e</m:t>
        </m:r>
        <m:r>
          <m:t>l</m:t>
        </m:r>
        <m:r>
          <m:t>e</m:t>
        </m:r>
        <m:r>
          <m:t>s</m:t>
        </m:r>
        <m:r>
          <m:t>s</m:t>
        </m:r>
        <m:r>
          <m:t>r</m:t>
        </m:r>
        <m:r>
          <m:t>e</m:t>
        </m:r>
        <m:r>
          <m:t>a</m:t>
        </m:r>
        <m:r>
          <m:t>f</m:t>
        </m:r>
        <m:r>
          <m:t>f</m:t>
        </m:r>
        <m:r>
          <m:t>i</m:t>
        </m:r>
        <m:r>
          <m:t>r</m:t>
        </m:r>
        <m:r>
          <m:t>m</m:t>
        </m:r>
        <m:r>
          <m:t>e</m:t>
        </m:r>
        <m:r>
          <m:t>d</m:t>
        </m:r>
        <m:r>
          <m:t>f</m:t>
        </m:r>
        <m:r>
          <m:t>u</m:t>
        </m:r>
        <m:r>
          <m:t>l</m:t>
        </m:r>
        <m:r>
          <m:t>l</m:t>
        </m:r>
        <m:r>
          <m:rPr>
            <m:sty m:val="p"/>
          </m:rPr>
          <m:t>−</m:t>
        </m:r>
        <m:r>
          <m:t>y</m:t>
        </m:r>
        <m:r>
          <m:t>e</m:t>
        </m:r>
        <m:r>
          <m:t>a</m:t>
        </m:r>
        <m:r>
          <m:t>r</m:t>
        </m:r>
        <m:r>
          <m:t>a</m:t>
        </m:r>
        <m:r>
          <m:t>d</m:t>
        </m:r>
        <m:r>
          <m:t>j</m:t>
        </m:r>
        <m:r>
          <m:t>u</m:t>
        </m:r>
        <m:r>
          <m:t>s</m:t>
        </m:r>
        <m:r>
          <m:t>t</m:t>
        </m:r>
        <m:r>
          <m:t>e</m:t>
        </m:r>
        <m:r>
          <m:t>d</m:t>
        </m:r>
        <m:r>
          <m:t>E</m:t>
        </m:r>
        <m:r>
          <m:t>P</m:t>
        </m:r>
        <m:r>
          <m:t>S</m:t>
        </m:r>
        <m:r>
          <m:t>g</m:t>
        </m:r>
        <m:r>
          <m:t>u</m:t>
        </m:r>
        <m:r>
          <m:t>i</m:t>
        </m:r>
        <m:r>
          <m:t>d</m:t>
        </m:r>
        <m:r>
          <m:t>a</m:t>
        </m:r>
        <m:r>
          <m:t>n</m:t>
        </m:r>
        <m:r>
          <m:t>c</m:t>
        </m:r>
        <m:r>
          <m:t>e</m:t>
        </m:r>
        <m:r>
          <m:t>o</m:t>
        </m:r>
        <m:r>
          <m:t>f</m:t>
        </m:r>
        <m:r>
          <m:rPr>
            <m:sty m:val="p"/>
          </m:rPr>
          <m:t>*</m:t>
        </m:r>
        <m:r>
          <m:rPr>
            <m:sty m:val="p"/>
          </m:rPr>
          <m:t>*</m:t>
        </m:r>
      </m:oMath>
      <w:r>
        <w:t xml:space="preserve">6.00–$6.20**. (</w:t>
      </w:r>
      <w:hyperlink r:id="rId11">
        <w:r>
          <w:rPr>
            <w:rStyle w:val="Hyperlink"/>
          </w:rPr>
          <w:t xml:space="preserve">benzinga.com</w:t>
        </w:r>
      </w:hyperlink>
      <w:r>
        <w:t xml:space="preserve">)</w:t>
      </w:r>
    </w:p>
    <w:p>
      <w:pPr>
        <w:pStyle w:val="BodyText"/>
      </w:pPr>
      <w:r>
        <w:t xml:space="preserve">The underlying earnings bridge illustrated the central tension in the ED story:</w:t>
      </w:r>
    </w:p>
    <w:p>
      <w:pPr>
        <w:pStyle w:val="BodyText"/>
      </w:pPr>
      <w:r>
        <w:rPr>
          <w:b/>
          <w:bCs/>
        </w:rPr>
        <w:t xml:space="preserve">Positive drivers</w:t>
      </w:r>
    </w:p>
    <w:p>
      <w:pPr>
        <w:pStyle w:val="Compact"/>
        <w:numPr>
          <w:ilvl w:val="0"/>
          <w:numId w:val="1002"/>
        </w:numPr>
      </w:pPr>
      <w:r>
        <w:t xml:space="preserve">Higher CECONY electric and gas rate base</w:t>
      </w:r>
    </w:p>
    <w:p>
      <w:pPr>
        <w:pStyle w:val="Compact"/>
        <w:numPr>
          <w:ilvl w:val="0"/>
          <w:numId w:val="1002"/>
        </w:numPr>
      </w:pPr>
      <w:r>
        <w:t xml:space="preserve">O&amp;R electric and gas rate increases</w:t>
      </w:r>
    </w:p>
    <w:p>
      <w:pPr>
        <w:pStyle w:val="Compact"/>
        <w:numPr>
          <w:ilvl w:val="0"/>
          <w:numId w:val="1002"/>
        </w:numPr>
      </w:pPr>
      <w:r>
        <w:t xml:space="preserve">Higher allowance for funds used during construction</w:t>
      </w:r>
    </w:p>
    <w:p>
      <w:pPr>
        <w:pStyle w:val="Compact"/>
        <w:numPr>
          <w:ilvl w:val="0"/>
          <w:numId w:val="1002"/>
        </w:numPr>
      </w:pPr>
      <w:r>
        <w:t xml:space="preserve">Continued growth in regulated investment</w:t>
      </w:r>
    </w:p>
    <w:p>
      <w:pPr>
        <w:pStyle w:val="FirstParagraph"/>
      </w:pPr>
      <w:r>
        <w:rPr>
          <w:b/>
          <w:bCs/>
        </w:rPr>
        <w:t xml:space="preserve">Offsets</w:t>
      </w:r>
    </w:p>
    <w:p>
      <w:pPr>
        <w:pStyle w:val="Compact"/>
        <w:numPr>
          <w:ilvl w:val="0"/>
          <w:numId w:val="1003"/>
        </w:numPr>
      </w:pPr>
      <w:r>
        <w:t xml:space="preserve">Higher electric, gas, and steam operating and maintenance expense</w:t>
      </w:r>
    </w:p>
    <w:p>
      <w:pPr>
        <w:pStyle w:val="Compact"/>
        <w:numPr>
          <w:ilvl w:val="0"/>
          <w:numId w:val="1003"/>
        </w:numPr>
      </w:pPr>
      <w:r>
        <w:t xml:space="preserve">Higher long-term debt interest expense</w:t>
      </w:r>
    </w:p>
    <w:p>
      <w:pPr>
        <w:pStyle w:val="Compact"/>
        <w:numPr>
          <w:ilvl w:val="0"/>
          <w:numId w:val="1003"/>
        </w:numPr>
      </w:pPr>
      <w:r>
        <w:t xml:space="preserve">Higher corporate costs</w:t>
      </w:r>
    </w:p>
    <w:p>
      <w:pPr>
        <w:pStyle w:val="Compact"/>
        <w:numPr>
          <w:ilvl w:val="0"/>
          <w:numId w:val="1003"/>
        </w:numPr>
      </w:pPr>
      <w:r>
        <w:t xml:space="preserve">Dilution from newly issued shares</w:t>
      </w:r>
    </w:p>
    <w:p>
      <w:pPr>
        <w:pStyle w:val="FirstParagraph"/>
      </w:pPr>
      <w:r>
        <w:t xml:space="preserve">Q1 also included a sizable GAAP gain from the sale of ED’s Mountain Valley Pipeline interest. Investors should therefore use</w:t>
      </w:r>
      <w:r>
        <w:t xml:space="preserve"> </w:t>
      </w:r>
      <w:r>
        <w:rPr>
          <w:b/>
          <w:bCs/>
        </w:rPr>
        <w:t xml:space="preserve">adjusted</w:t>
      </w:r>
      <w:r>
        <w:t xml:space="preserve">, rather than GAAP, results to judge ongoing performance.</w:t>
      </w:r>
    </w:p>
    <w:bookmarkEnd w:id="13"/>
    <w:bookmarkStart w:id="23" w:name="the-five-issues-that-matter-most"/>
    <w:p>
      <w:pPr>
        <w:pStyle w:val="Heading2"/>
      </w:pPr>
      <w:r>
        <w:t xml:space="preserve">The five issues that matter most</w:t>
      </w:r>
    </w:p>
    <w:bookmarkStart w:id="14" w:name="X5650df06bcb50832e4037697a6f3b1cb94bda6f"/>
    <w:p>
      <w:pPr>
        <w:pStyle w:val="Heading3"/>
      </w:pPr>
      <w:r>
        <w:t xml:space="preserve">1. Full-year guidance is the central catalyst</w:t>
      </w:r>
    </w:p>
    <w:p>
      <w:pPr>
        <w:pStyle w:val="FirstParagraph"/>
      </w:pPr>
      <w:r>
        <w:t xml:space="preserve">Management entered Q2 with a</w:t>
      </w:r>
      <w:r>
        <w:t xml:space="preserve"> </w:t>
      </w:r>
      <m:oMath>
        <m:r>
          <m:t>6.00</m:t>
        </m:r>
        <m:r>
          <m:rPr>
            <m:sty m:val="p"/>
          </m:rPr>
          <m:t>–</m:t>
        </m:r>
      </m:oMath>
      <w:r>
        <w:rPr>
          <w:b/>
          <w:bCs/>
        </w:rPr>
        <w:t xml:space="preserve">6.20</w:t>
      </w:r>
      <w:r>
        <w:t xml:space="preserve"> </w:t>
      </w:r>
      <w:r>
        <w:t xml:space="preserve">adjusted EPS forecast. At the midpoint, that represents about 7% growth from 2025 adjusted EPS of $5.70.</w:t>
      </w:r>
    </w:p>
    <w:p>
      <w:pPr>
        <w:pStyle w:val="BodyText"/>
      </w:pPr>
      <w:r>
        <w:t xml:space="preserve">Q1 adjusted EPS plus Q2 consensus would equal approximately</w:t>
      </w:r>
      <w:r>
        <w:t xml:space="preserve"> </w:t>
      </w:r>
      <m:oMath>
        <m:r>
          <m:t>2.93</m:t>
        </m:r>
        <m:r>
          <m:rPr>
            <m:sty m:val="p"/>
          </m:rPr>
          <m:t>*</m:t>
        </m:r>
        <m:r>
          <m:rPr>
            <m:sty m:val="p"/>
          </m:rPr>
          <m:t>*</m:t>
        </m:r>
        <m:r>
          <m:rPr>
            <m:sty m:val="p"/>
          </m:rPr>
          <m:t>,</m:t>
        </m:r>
        <m:r>
          <m:t>l</m:t>
        </m:r>
        <m:r>
          <m:t>e</m:t>
        </m:r>
        <m:r>
          <m:t>a</m:t>
        </m:r>
        <m:r>
          <m:t>v</m:t>
        </m:r>
        <m:r>
          <m:t>i</m:t>
        </m:r>
        <m:r>
          <m:t>n</m:t>
        </m:r>
        <m:r>
          <m:t>g</m:t>
        </m:r>
        <m:r>
          <m:rPr>
            <m:sty m:val="p"/>
          </m:rPr>
          <m:t>*</m:t>
        </m:r>
        <m:r>
          <m:rPr>
            <m:sty m:val="p"/>
          </m:rPr>
          <m:t>*</m:t>
        </m:r>
      </m:oMath>
      <w:r>
        <w:rPr>
          <w:b/>
          <w:bCs/>
        </w:rPr>
        <w:t xml:space="preserve">3.17</w:t>
      </w:r>
      <w:r>
        <w:t xml:space="preserve"> </w:t>
      </w:r>
      <w:r>
        <w:t xml:space="preserve">to reach the guidance midpoint in the second half. That is achievable given ED’s normal earnings seasonality, but it leaves limited room for broad-based cost overruns.</w:t>
      </w:r>
    </w:p>
    <w:p>
      <w:pPr>
        <w:pStyle w:val="BodyText"/>
      </w:pPr>
      <w:r>
        <w:t xml:space="preserve">Listen for whether management:</w:t>
      </w:r>
    </w:p>
    <w:p>
      <w:pPr>
        <w:pStyle w:val="Compact"/>
        <w:numPr>
          <w:ilvl w:val="0"/>
          <w:numId w:val="1004"/>
        </w:numPr>
      </w:pPr>
      <w:r>
        <w:t xml:space="preserve">Simply reaffirms the range</w:t>
      </w:r>
    </w:p>
    <w:p>
      <w:pPr>
        <w:pStyle w:val="Compact"/>
        <w:numPr>
          <w:ilvl w:val="0"/>
          <w:numId w:val="1004"/>
        </w:numPr>
      </w:pPr>
      <w:r>
        <w:t xml:space="preserve">Expresses confidence in the midpoint or upper half</w:t>
      </w:r>
    </w:p>
    <w:p>
      <w:pPr>
        <w:pStyle w:val="Compact"/>
        <w:numPr>
          <w:ilvl w:val="0"/>
          <w:numId w:val="1004"/>
        </w:numPr>
      </w:pPr>
      <w:r>
        <w:t xml:space="preserve">Identifies higher O&amp;M, storm restoration, interest, or financing costs</w:t>
      </w:r>
    </w:p>
    <w:p>
      <w:pPr>
        <w:pStyle w:val="Compact"/>
        <w:numPr>
          <w:ilvl w:val="0"/>
          <w:numId w:val="1004"/>
        </w:numPr>
      </w:pPr>
      <w:r>
        <w:t xml:space="preserve">Changes any assumptions underlying regulated earnings or capital deployment</w:t>
      </w:r>
    </w:p>
    <w:p>
      <w:pPr>
        <w:pStyle w:val="FirstParagraph"/>
      </w:pPr>
      <w:r>
        <w:t xml:space="preserve">For this stock, the qualitative guidance message could matter more than a few cents of quarterly EPS variance.</w:t>
      </w:r>
    </w:p>
    <w:bookmarkEnd w:id="14"/>
    <w:bookmarkStart w:id="15" w:name="X8bab35ca2a17c24d744cb8dd505df8e60bcbe17"/>
    <w:p>
      <w:pPr>
        <w:pStyle w:val="Heading3"/>
      </w:pPr>
      <w:r>
        <w:t xml:space="preserve">2. Rate-base growth must translate into EPS growth</w:t>
      </w:r>
    </w:p>
    <w:p>
      <w:pPr>
        <w:pStyle w:val="FirstParagraph"/>
      </w:pPr>
      <w:r>
        <w:t xml:space="preserve">ED’s investment case rests on unusually visible regulated growth. Its Q1 presentation projected:</w:t>
      </w:r>
    </w:p>
    <w:p>
      <w:pPr>
        <w:pStyle w:val="Compact"/>
        <w:numPr>
          <w:ilvl w:val="0"/>
          <w:numId w:val="1005"/>
        </w:numPr>
      </w:pPr>
      <w:r>
        <w:t xml:space="preserve">Approximately</w:t>
      </w:r>
      <w:r>
        <w:t xml:space="preserve"> </w:t>
      </w:r>
      <w:r>
        <w:rPr>
          <w:b/>
          <w:bCs/>
        </w:rPr>
        <w:t xml:space="preserve">$6.6 billion</w:t>
      </w:r>
      <w:r>
        <w:t xml:space="preserve"> </w:t>
      </w:r>
      <w:r>
        <w:t xml:space="preserve">of 2026 capital investment</w:t>
      </w:r>
    </w:p>
    <w:p>
      <w:pPr>
        <w:pStyle w:val="Compact"/>
        <w:numPr>
          <w:ilvl w:val="0"/>
          <w:numId w:val="1005"/>
        </w:numPr>
      </w:pPr>
      <w:r>
        <w:t xml:space="preserve">Average utility rate base of roughly</w:t>
      </w:r>
      <w:r>
        <w:t xml:space="preserve"> </w:t>
      </w:r>
      <w:r>
        <w:rPr>
          <w:b/>
          <w:bCs/>
        </w:rPr>
        <w:t xml:space="preserve">$49.0 billion</w:t>
      </w:r>
      <w:r>
        <w:t xml:space="preserve"> </w:t>
      </w:r>
      <w:r>
        <w:t xml:space="preserve">in 2026</w:t>
      </w:r>
    </w:p>
    <w:p>
      <w:pPr>
        <w:pStyle w:val="Compact"/>
        <w:numPr>
          <w:ilvl w:val="0"/>
          <w:numId w:val="1005"/>
        </w:numPr>
      </w:pPr>
      <w:r>
        <w:t xml:space="preserve">Total investment earnings base of approximately</w:t>
      </w:r>
      <w:r>
        <w:t xml:space="preserve"> </w:t>
      </w:r>
      <w:r>
        <w:rPr>
          <w:b/>
          <w:bCs/>
        </w:rPr>
        <w:t xml:space="preserve">$50.7 billion</w:t>
      </w:r>
    </w:p>
    <w:p>
      <w:pPr>
        <w:pStyle w:val="Compact"/>
        <w:numPr>
          <w:ilvl w:val="0"/>
          <w:numId w:val="1005"/>
        </w:numPr>
      </w:pPr>
      <w:r>
        <w:t xml:space="preserve">An</w:t>
      </w:r>
      <w:r>
        <w:t xml:space="preserve"> </w:t>
      </w:r>
      <w:r>
        <w:rPr>
          <w:b/>
          <w:bCs/>
        </w:rPr>
        <w:t xml:space="preserve">8.8% five-year CAGR</w:t>
      </w:r>
      <w:r>
        <w:t xml:space="preserve"> </w:t>
      </w:r>
      <w:r>
        <w:t xml:space="preserve">in investment earnings base through 2030</w:t>
      </w:r>
    </w:p>
    <w:p>
      <w:pPr>
        <w:pStyle w:val="FirstParagraph"/>
      </w:pPr>
      <w:r>
        <w:t xml:space="preserve">New CECONY electric and gas rate plans took effect at the beginning of 2026, providing three years of rate certainty. At March 31, CECONY’s actual regulated electric return on equity was 9.10%, versus 9.29% authorized, while gas earned 9.52%.</w:t>
      </w:r>
    </w:p>
    <w:p>
      <w:pPr>
        <w:pStyle w:val="BodyText"/>
      </w:pPr>
      <w:r>
        <w:t xml:space="preserve">The key Q2 question is whether the first-year benefits of those plans are becoming more visible after Q1’s higher expenses obscured rate-base growth. Investors should watch:</w:t>
      </w:r>
    </w:p>
    <w:p>
      <w:pPr>
        <w:pStyle w:val="Compact"/>
        <w:numPr>
          <w:ilvl w:val="0"/>
          <w:numId w:val="1006"/>
        </w:numPr>
      </w:pPr>
      <w:r>
        <w:t xml:space="preserve">Electric and gas rate-base contributions</w:t>
      </w:r>
    </w:p>
    <w:p>
      <w:pPr>
        <w:pStyle w:val="Compact"/>
        <w:numPr>
          <w:ilvl w:val="0"/>
          <w:numId w:val="1006"/>
        </w:numPr>
      </w:pPr>
      <w:r>
        <w:t xml:space="preserve">Actual versus authorized ROEs</w:t>
      </w:r>
    </w:p>
    <w:p>
      <w:pPr>
        <w:pStyle w:val="Compact"/>
        <w:numPr>
          <w:ilvl w:val="0"/>
          <w:numId w:val="1006"/>
        </w:numPr>
      </w:pPr>
      <w:r>
        <w:t xml:space="preserve">Capital placed in service</w:t>
      </w:r>
    </w:p>
    <w:p>
      <w:pPr>
        <w:pStyle w:val="Compact"/>
        <w:numPr>
          <w:ilvl w:val="0"/>
          <w:numId w:val="1006"/>
        </w:numPr>
      </w:pPr>
      <w:r>
        <w:t xml:space="preserve">Construction timing and AFUDC income</w:t>
      </w:r>
    </w:p>
    <w:p>
      <w:pPr>
        <w:pStyle w:val="Compact"/>
        <w:numPr>
          <w:ilvl w:val="0"/>
          <w:numId w:val="1006"/>
        </w:numPr>
      </w:pPr>
      <w:r>
        <w:t xml:space="preserve">Any change in the multiyear capital forecast</w:t>
      </w:r>
    </w:p>
    <w:p>
      <w:pPr>
        <w:pStyle w:val="FirstParagraph"/>
      </w:pPr>
      <w:r>
        <w:t xml:space="preserve">A solid report should demonstrate that investment growth is producing earnings growth—not merely expanding the financing requirement.</w:t>
      </w:r>
    </w:p>
    <w:bookmarkEnd w:id="15"/>
    <w:bookmarkStart w:id="16" w:name="Xaa421b7ea0522d68393dc6a690ee598546a4ef4"/>
    <w:p>
      <w:pPr>
        <w:pStyle w:val="Heading3"/>
      </w:pPr>
      <w:r>
        <w:t xml:space="preserve">3. O&amp;M discipline remains the biggest execution variable</w:t>
      </w:r>
    </w:p>
    <w:p>
      <w:pPr>
        <w:pStyle w:val="FirstParagraph"/>
      </w:pPr>
      <w:r>
        <w:t xml:space="preserve">In Q1, higher CECONY O&amp;M reduced year-over-year EPS by approximately</w:t>
      </w:r>
      <w:r>
        <w:t xml:space="preserve"> </w:t>
      </w:r>
      <w:r>
        <w:rPr>
          <w:b/>
          <w:bCs/>
        </w:rPr>
        <w:t xml:space="preserve">$0.08</w:t>
      </w:r>
      <w:r>
        <w:t xml:space="preserve">, more than offsetting the combined benefit from higher electric and gas rate base.</w:t>
      </w:r>
    </w:p>
    <w:p>
      <w:pPr>
        <w:pStyle w:val="BodyText"/>
      </w:pPr>
      <w:r>
        <w:t xml:space="preserve">That makes the Q2 expense bridge especially important. Relevant line items include:</w:t>
      </w:r>
    </w:p>
    <w:p>
      <w:pPr>
        <w:pStyle w:val="Compact"/>
        <w:numPr>
          <w:ilvl w:val="0"/>
          <w:numId w:val="1007"/>
        </w:numPr>
      </w:pPr>
      <w:r>
        <w:t xml:space="preserve">Labor and contractor expense</w:t>
      </w:r>
    </w:p>
    <w:p>
      <w:pPr>
        <w:pStyle w:val="Compact"/>
        <w:numPr>
          <w:ilvl w:val="0"/>
          <w:numId w:val="1007"/>
        </w:numPr>
      </w:pPr>
      <w:r>
        <w:t xml:space="preserve">Storm restoration and emergency-response costs</w:t>
      </w:r>
    </w:p>
    <w:p>
      <w:pPr>
        <w:pStyle w:val="Compact"/>
        <w:numPr>
          <w:ilvl w:val="0"/>
          <w:numId w:val="1007"/>
        </w:numPr>
      </w:pPr>
      <w:r>
        <w:t xml:space="preserve">Healthcare and employee benefits</w:t>
      </w:r>
    </w:p>
    <w:p>
      <w:pPr>
        <w:pStyle w:val="Compact"/>
        <w:numPr>
          <w:ilvl w:val="0"/>
          <w:numId w:val="1007"/>
        </w:numPr>
      </w:pPr>
      <w:r>
        <w:t xml:space="preserve">Injuries and damages</w:t>
      </w:r>
    </w:p>
    <w:p>
      <w:pPr>
        <w:pStyle w:val="Compact"/>
        <w:numPr>
          <w:ilvl w:val="0"/>
          <w:numId w:val="1007"/>
        </w:numPr>
      </w:pPr>
      <w:r>
        <w:t xml:space="preserve">Regulatory and corporate expense</w:t>
      </w:r>
    </w:p>
    <w:p>
      <w:pPr>
        <w:pStyle w:val="Compact"/>
        <w:numPr>
          <w:ilvl w:val="0"/>
          <w:numId w:val="1007"/>
        </w:numPr>
      </w:pPr>
      <w:r>
        <w:t xml:space="preserve">Inflation and supply-chain costs</w:t>
      </w:r>
    </w:p>
    <w:p>
      <w:pPr>
        <w:pStyle w:val="FirstParagraph"/>
      </w:pPr>
      <w:r>
        <w:t xml:space="preserve">The July heatwave occurred after the June 30 quarter-end, so most direct costs should affect Q3 rather than Q2. However, management’s commentary may alter investors’ expectations for the second half.</w:t>
      </w:r>
    </w:p>
    <w:bookmarkEnd w:id="16"/>
    <w:bookmarkStart w:id="19" w:name="Xc7db7b7cd6174a338386dadf3b85c1391235543"/>
    <w:p>
      <w:pPr>
        <w:pStyle w:val="Heading3"/>
      </w:pPr>
      <w:r>
        <w:t xml:space="preserve">4. July’s reliability events could shape the outlook</w:t>
      </w:r>
    </w:p>
    <w:p>
      <w:pPr>
        <w:pStyle w:val="FirstParagraph"/>
      </w:pPr>
      <w:r>
        <w:t xml:space="preserve">ED’s system faced an intense operational test shortly after Q2 ended. During the early-July heatwave, the company reported restoring more than 60,000 customers affected by scattered heat-related outages. Heat was followed by severe thunderstorms, and approximately</w:t>
      </w:r>
      <w:r>
        <w:t xml:space="preserve"> </w:t>
      </w:r>
      <w:r>
        <w:rPr>
          <w:b/>
          <w:bCs/>
        </w:rPr>
        <w:t xml:space="preserve">173,700 customers</w:t>
      </w:r>
      <w:r>
        <w:t xml:space="preserve"> </w:t>
      </w:r>
      <w:r>
        <w:t xml:space="preserve">were ultimately affected by the combined extreme-weather events; ED reported that 166,800 had been restored by late July 5. (</w:t>
      </w:r>
      <w:hyperlink r:id="rId17">
        <w:r>
          <w:rPr>
            <w:rStyle w:val="Hyperlink"/>
          </w:rPr>
          <w:t xml:space="preserve">coned.com</w:t>
        </w:r>
      </w:hyperlink>
      <w:r>
        <w:t xml:space="preserve">)</w:t>
      </w:r>
    </w:p>
    <w:p>
      <w:pPr>
        <w:pStyle w:val="BodyText"/>
      </w:pPr>
      <w:r>
        <w:t xml:space="preserve">This matters beyond immediate restoration expense. Management may be asked about:</w:t>
      </w:r>
    </w:p>
    <w:p>
      <w:pPr>
        <w:pStyle w:val="Compact"/>
        <w:numPr>
          <w:ilvl w:val="0"/>
          <w:numId w:val="1008"/>
        </w:numPr>
      </w:pPr>
      <w:r>
        <w:t xml:space="preserve">Preliminary Q3 storm and restoration costs</w:t>
      </w:r>
    </w:p>
    <w:p>
      <w:pPr>
        <w:pStyle w:val="Compact"/>
        <w:numPr>
          <w:ilvl w:val="0"/>
          <w:numId w:val="1008"/>
        </w:numPr>
      </w:pPr>
      <w:r>
        <w:t xml:space="preserve">Whether costs are recoverable through regulatory mechanisms</w:t>
      </w:r>
    </w:p>
    <w:p>
      <w:pPr>
        <w:pStyle w:val="Compact"/>
        <w:numPr>
          <w:ilvl w:val="0"/>
          <w:numId w:val="1008"/>
        </w:numPr>
      </w:pPr>
      <w:r>
        <w:t xml:space="preserve">Equipment performance under extreme heat</w:t>
      </w:r>
    </w:p>
    <w:p>
      <w:pPr>
        <w:pStyle w:val="Compact"/>
        <w:numPr>
          <w:ilvl w:val="0"/>
          <w:numId w:val="1008"/>
        </w:numPr>
      </w:pPr>
      <w:r>
        <w:t xml:space="preserve">The need to accelerate or reallocate capital</w:t>
      </w:r>
    </w:p>
    <w:p>
      <w:pPr>
        <w:pStyle w:val="Compact"/>
        <w:numPr>
          <w:ilvl w:val="0"/>
          <w:numId w:val="1008"/>
        </w:numPr>
      </w:pPr>
      <w:r>
        <w:t xml:space="preserve">Customer compensation and receivables</w:t>
      </w:r>
    </w:p>
    <w:p>
      <w:pPr>
        <w:pStyle w:val="Compact"/>
        <w:numPr>
          <w:ilvl w:val="0"/>
          <w:numId w:val="1008"/>
        </w:numPr>
      </w:pPr>
      <w:r>
        <w:t xml:space="preserve">Potential regulatory scrutiny</w:t>
      </w:r>
    </w:p>
    <w:p>
      <w:pPr>
        <w:pStyle w:val="Compact"/>
        <w:numPr>
          <w:ilvl w:val="0"/>
          <w:numId w:val="1008"/>
        </w:numPr>
      </w:pPr>
      <w:r>
        <w:t xml:space="preserve">Whether the events validate the existing resilience plan or expose new investment needs</w:t>
      </w:r>
    </w:p>
    <w:p>
      <w:pPr>
        <w:pStyle w:val="FirstParagraph"/>
      </w:pPr>
      <w:r>
        <w:t xml:space="preserve">ED announced before the summer that it was investing</w:t>
      </w:r>
      <w:r>
        <w:t xml:space="preserve"> </w:t>
      </w:r>
      <w:r>
        <w:rPr>
          <w:b/>
          <w:bCs/>
        </w:rPr>
        <w:t xml:space="preserve">$3.9 billion in system upgrades for summer 2026</w:t>
      </w:r>
      <w:r>
        <w:t xml:space="preserve">, making the operational response—and management’s explanation of it—a meaningful credibility test. (</w:t>
      </w:r>
      <w:hyperlink r:id="rId18">
        <w:r>
          <w:rPr>
            <w:rStyle w:val="Hyperlink"/>
          </w:rPr>
          <w:t xml:space="preserve">coned.com</w:t>
        </w:r>
      </w:hyperlink>
      <w:r>
        <w:t xml:space="preserve">)</w:t>
      </w:r>
    </w:p>
    <w:bookmarkEnd w:id="19"/>
    <w:bookmarkStart w:id="22" w:name="X2fcdda538bf4ba45c74dbece3635e58746aba5a"/>
    <w:p>
      <w:pPr>
        <w:pStyle w:val="Heading3"/>
      </w:pPr>
      <w:r>
        <w:t xml:space="preserve">5. Financing and dilution need close attention</w:t>
      </w:r>
    </w:p>
    <w:p>
      <w:pPr>
        <w:pStyle w:val="FirstParagraph"/>
      </w:pPr>
      <w:r>
        <w:t xml:space="preserve">ED has a capital-intensive growth plan, and equity issuance is part of the funding model.</w:t>
      </w:r>
    </w:p>
    <w:p>
      <w:pPr>
        <w:pStyle w:val="BodyText"/>
      </w:pPr>
      <w:r>
        <w:t xml:space="preserve">During Q1, the company issued</w:t>
      </w:r>
      <w:r>
        <w:t xml:space="preserve"> </w:t>
      </w:r>
      <w:r>
        <w:rPr>
          <w:b/>
          <w:bCs/>
        </w:rPr>
        <w:t xml:space="preserve">7 million shares for approximately $776 million</w:t>
      </w:r>
      <w:r>
        <w:t xml:space="preserve">, against a stated 2026 common-equity plan of up to $1.1 billion. (</w:t>
      </w:r>
      <w:hyperlink r:id="rId20">
        <w:r>
          <w:rPr>
            <w:rStyle w:val="Hyperlink"/>
          </w:rPr>
          <w:t xml:space="preserve">investor.conedison.com</w:t>
        </w:r>
      </w:hyperlink>
      <w:r>
        <w:t xml:space="preserve">)</w:t>
      </w:r>
    </w:p>
    <w:p>
      <w:pPr>
        <w:pStyle w:val="BodyText"/>
      </w:pPr>
      <w:r>
        <w:t xml:space="preserve">On May 8, ED also established a</w:t>
      </w:r>
      <w:r>
        <w:t xml:space="preserve"> </w:t>
      </w:r>
      <w:r>
        <w:rPr>
          <w:b/>
          <w:bCs/>
        </w:rPr>
        <w:t xml:space="preserve">$2 billion at-the-market equity program</w:t>
      </w:r>
      <w:r>
        <w:t xml:space="preserve">, with proceeds intended primarily to fund subsidiary capital requirements and general corporate purposes. (</w:t>
      </w:r>
      <w:hyperlink r:id="rId21">
        <w:r>
          <w:rPr>
            <w:rStyle w:val="Hyperlink"/>
          </w:rPr>
          <w:t xml:space="preserve">investor.conedison.com</w:t>
        </w:r>
      </w:hyperlink>
      <w:r>
        <w:t xml:space="preserve">)</w:t>
      </w:r>
    </w:p>
    <w:p>
      <w:pPr>
        <w:pStyle w:val="BodyText"/>
      </w:pPr>
      <w:r>
        <w:t xml:space="preserve">The program itself is not necessarily a negative—it supports regulated investment and balance-sheet strength—but it raises several questions:</w:t>
      </w:r>
    </w:p>
    <w:p>
      <w:pPr>
        <w:pStyle w:val="Compact"/>
        <w:numPr>
          <w:ilvl w:val="0"/>
          <w:numId w:val="1009"/>
        </w:numPr>
      </w:pPr>
      <w:r>
        <w:t xml:space="preserve">How much ATM capacity was used during Q2?</w:t>
      </w:r>
    </w:p>
    <w:p>
      <w:pPr>
        <w:pStyle w:val="Compact"/>
        <w:numPr>
          <w:ilvl w:val="0"/>
          <w:numId w:val="1009"/>
        </w:numPr>
      </w:pPr>
      <w:r>
        <w:t xml:space="preserve">Is the company still targeting no more than $1.1 billion of 2026 issuance?</w:t>
      </w:r>
    </w:p>
    <w:p>
      <w:pPr>
        <w:pStyle w:val="Compact"/>
        <w:numPr>
          <w:ilvl w:val="0"/>
          <w:numId w:val="1009"/>
        </w:numPr>
      </w:pPr>
      <w:r>
        <w:t xml:space="preserve">Has the 2027–2030 funding plan changed?</w:t>
      </w:r>
    </w:p>
    <w:p>
      <w:pPr>
        <w:pStyle w:val="Compact"/>
        <w:numPr>
          <w:ilvl w:val="0"/>
          <w:numId w:val="1009"/>
        </w:numPr>
      </w:pPr>
      <w:r>
        <w:t xml:space="preserve">Will higher interest rates shift the debt/equity mix?</w:t>
      </w:r>
    </w:p>
    <w:p>
      <w:pPr>
        <w:pStyle w:val="Compact"/>
        <w:numPr>
          <w:ilvl w:val="0"/>
          <w:numId w:val="1009"/>
        </w:numPr>
      </w:pPr>
      <w:r>
        <w:t xml:space="preserve">Is EPS guidance fully inclusive of expected dilution?</w:t>
      </w:r>
    </w:p>
    <w:p>
      <w:pPr>
        <w:pStyle w:val="FirstParagraph"/>
      </w:pPr>
      <w:r>
        <w:t xml:space="preserve">A surprise acceleration in issuance could pressure per-share growth, even if total regulated earnings remain healthy.</w:t>
      </w:r>
    </w:p>
    <w:bookmarkEnd w:id="22"/>
    <w:bookmarkEnd w:id="23"/>
    <w:bookmarkStart w:id="27" w:name="regulatory-items-to-monitor"/>
    <w:p>
      <w:pPr>
        <w:pStyle w:val="Heading2"/>
      </w:pPr>
      <w:r>
        <w:t xml:space="preserve">Regulatory items to monitor</w:t>
      </w:r>
    </w:p>
    <w:bookmarkStart w:id="25" w:name="cecony-steam-rate-case"/>
    <w:p>
      <w:pPr>
        <w:pStyle w:val="Heading3"/>
      </w:pPr>
      <w:r>
        <w:t xml:space="preserve">CECONY steam rate case</w:t>
      </w:r>
    </w:p>
    <w:p>
      <w:pPr>
        <w:pStyle w:val="FirstParagraph"/>
      </w:pPr>
      <w:r>
        <w:t xml:space="preserve">CECONY requested a</w:t>
      </w:r>
      <w:r>
        <w:t xml:space="preserve"> </w:t>
      </w:r>
      <m:oMath>
        <m:r>
          <m:t>66</m:t>
        </m:r>
        <m:r>
          <m:t>m</m:t>
        </m:r>
        <m:r>
          <m:t>i</m:t>
        </m:r>
        <m:r>
          <m:t>l</m:t>
        </m:r>
        <m:r>
          <m:t>l</m:t>
        </m:r>
        <m:r>
          <m:t>i</m:t>
        </m:r>
        <m:r>
          <m:t>o</m:t>
        </m:r>
        <m:r>
          <m:t>n</m:t>
        </m:r>
        <m:r>
          <m:rPr>
            <m:sty m:val="p"/>
          </m:rPr>
          <m:t>*</m:t>
        </m:r>
        <m:r>
          <m:rPr>
            <m:sty m:val="p"/>
          </m:rPr>
          <m:t>*</m:t>
        </m:r>
        <m:r>
          <m:t>s</m:t>
        </m:r>
        <m:r>
          <m:t>t</m:t>
        </m:r>
        <m:r>
          <m:t>e</m:t>
        </m:r>
        <m:r>
          <m:t>a</m:t>
        </m:r>
        <m:r>
          <m:t>m</m:t>
        </m:r>
        <m:r>
          <m:t>r</m:t>
        </m:r>
        <m:r>
          <m:t>a</m:t>
        </m:r>
        <m:r>
          <m:t>t</m:t>
        </m:r>
        <m:r>
          <m:t>e</m:t>
        </m:r>
        <m:r>
          <m:t>i</m:t>
        </m:r>
        <m:r>
          <m:t>n</m:t>
        </m:r>
        <m:r>
          <m:t>c</m:t>
        </m:r>
        <m:r>
          <m:t>r</m:t>
        </m:r>
        <m:r>
          <m:t>e</m:t>
        </m:r>
        <m:r>
          <m:t>a</m:t>
        </m:r>
        <m:r>
          <m:t>s</m:t>
        </m:r>
        <m:r>
          <m:t>e</m:t>
        </m:r>
        <m:r>
          <m:t>b</m:t>
        </m:r>
        <m:r>
          <m:t>e</m:t>
        </m:r>
        <m:r>
          <m:t>g</m:t>
        </m:r>
        <m:r>
          <m:t>i</m:t>
        </m:r>
        <m:r>
          <m:t>n</m:t>
        </m:r>
        <m:r>
          <m:t>n</m:t>
        </m:r>
        <m:r>
          <m:t>i</m:t>
        </m:r>
        <m:r>
          <m:t>n</m:t>
        </m:r>
        <m:r>
          <m:t>g</m:t>
        </m:r>
        <m:r>
          <m:t>N</m:t>
        </m:r>
        <m:r>
          <m:t>o</m:t>
        </m:r>
        <m:r>
          <m:t>v</m:t>
        </m:r>
        <m:r>
          <m:t>e</m:t>
        </m:r>
        <m:r>
          <m:t>m</m:t>
        </m:r>
        <m:r>
          <m:t>b</m:t>
        </m:r>
        <m:r>
          <m:t>e</m:t>
        </m:r>
        <m:r>
          <m:t>r</m:t>
        </m:r>
        <m:r>
          <m:t>1</m:t>
        </m:r>
        <m:r>
          <m:rPr>
            <m:sty m:val="p"/>
          </m:rPr>
          <m:t>,</m:t>
        </m:r>
        <m:r>
          <m:t>2026</m:t>
        </m:r>
        <m:r>
          <m:rPr>
            <m:sty m:val="p"/>
          </m:rPr>
          <m:t>,</m:t>
        </m:r>
        <m:r>
          <m:t>b</m:t>
        </m:r>
        <m:r>
          <m:t>a</m:t>
        </m:r>
        <m:r>
          <m:t>s</m:t>
        </m:r>
        <m:r>
          <m:t>e</m:t>
        </m:r>
        <m:r>
          <m:t>d</m:t>
        </m:r>
        <m:r>
          <m:t>o</m:t>
        </m:r>
        <m:r>
          <m:t>n</m:t>
        </m:r>
        <m:r>
          <m:t>a</m:t>
        </m:r>
        <m:r>
          <m:t>p</m:t>
        </m:r>
        <m:r>
          <m:t>r</m:t>
        </m:r>
        <m:r>
          <m:t>o</m:t>
        </m:r>
        <m:r>
          <m:t>p</m:t>
        </m:r>
        <m:r>
          <m:t>o</m:t>
        </m:r>
        <m:r>
          <m:t>s</m:t>
        </m:r>
        <m:r>
          <m:t>e</m:t>
        </m:r>
        <m:r>
          <m:t>d</m:t>
        </m:r>
        <m:r>
          <m:t>9.9</m:t>
        </m:r>
      </m:oMath>
      <w:r>
        <w:rPr>
          <w:b/>
          <w:bCs/>
        </w:rPr>
        <w:t xml:space="preserve">18 million</w:t>
      </w:r>
      <w:r>
        <w:t xml:space="preserve"> </w:t>
      </w:r>
      <w:r>
        <w:t xml:space="preserve">increase, with a 9.3% ROE and 47.5% equity ratio. (</w:t>
      </w:r>
      <w:hyperlink r:id="rId24">
        <w:r>
          <w:rPr>
            <w:rStyle w:val="Hyperlink"/>
          </w:rPr>
          <w:t xml:space="preserve">investor.conedison.com</w:t>
        </w:r>
      </w:hyperlink>
      <w:r>
        <w:t xml:space="preserve">)</w:t>
      </w:r>
    </w:p>
    <w:p>
      <w:pPr>
        <w:pStyle w:val="BodyText"/>
      </w:pPr>
      <w:r>
        <w:t xml:space="preserve">Steam is a relatively small part of ED, but the outcome may provide another signal regarding regulatory support, affordability concerns, and authorized returns.</w:t>
      </w:r>
    </w:p>
    <w:bookmarkEnd w:id="25"/>
    <w:bookmarkStart w:id="26" w:name="customer-affordability-and-receivables"/>
    <w:p>
      <w:pPr>
        <w:pStyle w:val="Heading3"/>
      </w:pPr>
      <w:r>
        <w:t xml:space="preserve">Customer affordability and receivables</w:t>
      </w:r>
    </w:p>
    <w:p>
      <w:pPr>
        <w:pStyle w:val="FirstParagraph"/>
      </w:pPr>
      <w:r>
        <w:t xml:space="preserve">At March 31, CECONY had approximately</w:t>
      </w:r>
      <w:r>
        <w:t xml:space="preserve"> </w:t>
      </w:r>
      <w:r>
        <w:rPr>
          <w:b/>
          <w:bCs/>
        </w:rPr>
        <w:t xml:space="preserve">$1.35 billion</w:t>
      </w:r>
      <w:r>
        <w:t xml:space="preserve"> </w:t>
      </w:r>
      <w:r>
        <w:t xml:space="preserve">of customer receivables more than 60 days past due. That was modestly better than year-end but remained far above pre-pandemic levels.</w:t>
      </w:r>
    </w:p>
    <w:p>
      <w:pPr>
        <w:pStyle w:val="BodyText"/>
      </w:pPr>
      <w:r>
        <w:t xml:space="preserve">Investors should watch for:</w:t>
      </w:r>
    </w:p>
    <w:p>
      <w:pPr>
        <w:pStyle w:val="Compact"/>
        <w:numPr>
          <w:ilvl w:val="0"/>
          <w:numId w:val="1010"/>
        </w:numPr>
      </w:pPr>
      <w:r>
        <w:t xml:space="preserve">Updated aged-receivable balances</w:t>
      </w:r>
    </w:p>
    <w:p>
      <w:pPr>
        <w:pStyle w:val="Compact"/>
        <w:numPr>
          <w:ilvl w:val="0"/>
          <w:numId w:val="1010"/>
        </w:numPr>
      </w:pPr>
      <w:r>
        <w:t xml:space="preserve">Bad-debt and uncollectible expense</w:t>
      </w:r>
    </w:p>
    <w:p>
      <w:pPr>
        <w:pStyle w:val="Compact"/>
        <w:numPr>
          <w:ilvl w:val="0"/>
          <w:numId w:val="1010"/>
        </w:numPr>
      </w:pPr>
      <w:r>
        <w:t xml:space="preserve">Enrollment in affordability programs</w:t>
      </w:r>
    </w:p>
    <w:p>
      <w:pPr>
        <w:pStyle w:val="Compact"/>
        <w:numPr>
          <w:ilvl w:val="0"/>
          <w:numId w:val="1010"/>
        </w:numPr>
      </w:pPr>
      <w:r>
        <w:t xml:space="preserve">Regulatory recovery treatment</w:t>
      </w:r>
    </w:p>
    <w:p>
      <w:pPr>
        <w:pStyle w:val="Compact"/>
        <w:numPr>
          <w:ilvl w:val="0"/>
          <w:numId w:val="1010"/>
        </w:numPr>
      </w:pPr>
      <w:r>
        <w:t xml:space="preserve">Political pressure surrounding summer bills and rate increases</w:t>
      </w:r>
    </w:p>
    <w:bookmarkEnd w:id="26"/>
    <w:bookmarkEnd w:id="27"/>
    <w:bookmarkStart w:id="28" w:name="stock-setup"/>
    <w:p>
      <w:pPr>
        <w:pStyle w:val="Heading2"/>
      </w:pPr>
      <w:r>
        <w:t xml:space="preserve">Stock setup</w:t>
      </w:r>
    </w:p>
    <w:p>
      <w:pPr>
        <w:pStyle w:val="FirstParagraph"/>
      </w:pPr>
      <w:r>
        <w:t xml:space="preserve">Through August 5, ED had gained roughly</w:t>
      </w:r>
      <w:r>
        <w:t xml:space="preserve"> </w:t>
      </w:r>
      <w:r>
        <w:rPr>
          <w:b/>
          <w:bCs/>
        </w:rPr>
        <w:t xml:space="preserve">8.4% in 2026</w:t>
      </w:r>
      <w:r>
        <w:t xml:space="preserve">, compared with about</w:t>
      </w:r>
      <w:r>
        <w:t xml:space="preserve"> </w:t>
      </w:r>
      <w:r>
        <w:rPr>
          <w:b/>
          <w:bCs/>
        </w:rPr>
        <w:t xml:space="preserve">1.1% for the Utilities Select Sector SPDR ETF</w:t>
      </w:r>
      <w:r>
        <w:t xml:space="preserve">. The shares ended August 5 at $108.35.</w:t>
      </w:r>
    </w:p>
    <w:p>
      <w:pPr>
        <w:pStyle w:val="BodyText"/>
      </w:pPr>
      <w:r>
        <w:t xml:space="preserve">At that price, ED trades at approximately:</w:t>
      </w:r>
    </w:p>
    <w:p>
      <w:pPr>
        <w:pStyle w:val="Compact"/>
        <w:numPr>
          <w:ilvl w:val="0"/>
          <w:numId w:val="1011"/>
        </w:numPr>
      </w:pPr>
      <w:r>
        <w:rPr>
          <w:b/>
          <w:bCs/>
        </w:rPr>
        <w:t xml:space="preserve">17.5x</w:t>
      </w:r>
      <w:r>
        <w:t xml:space="preserve"> </w:t>
      </w:r>
      <w:r>
        <w:t xml:space="preserve">the top of 2026 guidance</w:t>
      </w:r>
    </w:p>
    <w:p>
      <w:pPr>
        <w:pStyle w:val="Compact"/>
        <w:numPr>
          <w:ilvl w:val="0"/>
          <w:numId w:val="1011"/>
        </w:numPr>
      </w:pPr>
      <w:r>
        <w:rPr>
          <w:b/>
          <w:bCs/>
        </w:rPr>
        <w:t xml:space="preserve">17.8x</w:t>
      </w:r>
      <w:r>
        <w:t xml:space="preserve"> </w:t>
      </w:r>
      <w:r>
        <w:t xml:space="preserve">the midpoint</w:t>
      </w:r>
    </w:p>
    <w:p>
      <w:pPr>
        <w:pStyle w:val="Compact"/>
        <w:numPr>
          <w:ilvl w:val="0"/>
          <w:numId w:val="1011"/>
        </w:numPr>
      </w:pPr>
      <w:r>
        <w:rPr>
          <w:b/>
          <w:bCs/>
        </w:rPr>
        <w:t xml:space="preserve">18.1x</w:t>
      </w:r>
      <w:r>
        <w:t xml:space="preserve"> </w:t>
      </w:r>
      <w:r>
        <w:t xml:space="preserve">the bottom</w:t>
      </w:r>
    </w:p>
    <w:p>
      <w:pPr>
        <w:pStyle w:val="FirstParagraph"/>
      </w:pPr>
      <w:r>
        <w:t xml:space="preserve">The annualized $3.55 dividend provides a yield of approximately 3.3%. The July dividend declaration maintained the quarterly payment at $0.8875 per share. (</w:t>
      </w:r>
      <w:hyperlink r:id="rId9">
        <w:r>
          <w:rPr>
            <w:rStyle w:val="Hyperlink"/>
          </w:rPr>
          <w:t xml:space="preserve">investor.conedison.com</w:t>
        </w:r>
      </w:hyperlink>
      <w:r>
        <w:t xml:space="preserve">)</w:t>
      </w:r>
    </w:p>
    <w:p>
      <w:pPr>
        <w:pStyle w:val="BodyText"/>
      </w:pPr>
      <w:r>
        <w:t xml:space="preserve">That valuation is not obviously distressed, particularly after ED’s year-to-date outperformance. Investors may therefore require more than a routine consensus beat to drive a sustained advance. Guidance quality, financing discipline, and the July reliability discussion are likely to determine the reaction.</w:t>
      </w:r>
    </w:p>
    <w:bookmarkEnd w:id="28"/>
    <w:bookmarkStart w:id="32" w:name="potential-reaction-scenarios"/>
    <w:p>
      <w:pPr>
        <w:pStyle w:val="Heading2"/>
      </w:pPr>
      <w:r>
        <w:t xml:space="preserve">Potential reaction scenarios</w:t>
      </w:r>
    </w:p>
    <w:bookmarkStart w:id="29" w:name="bull-case"/>
    <w:p>
      <w:pPr>
        <w:pStyle w:val="Heading3"/>
      </w:pPr>
      <w:r>
        <w:t xml:space="preserve">Bull case</w:t>
      </w:r>
    </w:p>
    <w:p>
      <w:pPr>
        <w:pStyle w:val="Compact"/>
        <w:numPr>
          <w:ilvl w:val="0"/>
          <w:numId w:val="1012"/>
        </w:numPr>
      </w:pPr>
      <w:r>
        <w:t xml:space="preserve">Adjusted EPS above approximately $0.76</w:t>
      </w:r>
    </w:p>
    <w:p>
      <w:pPr>
        <w:pStyle w:val="Compact"/>
        <w:numPr>
          <w:ilvl w:val="0"/>
          <w:numId w:val="1012"/>
        </w:numPr>
      </w:pPr>
      <w:r>
        <w:t xml:space="preserve">Guidance maintained with confidence toward the upper half</w:t>
      </w:r>
    </w:p>
    <w:p>
      <w:pPr>
        <w:pStyle w:val="Compact"/>
        <w:numPr>
          <w:ilvl w:val="0"/>
          <w:numId w:val="1012"/>
        </w:numPr>
      </w:pPr>
      <w:r>
        <w:t xml:space="preserve">Rate-base and new-rate benefits accelerate</w:t>
      </w:r>
    </w:p>
    <w:p>
      <w:pPr>
        <w:pStyle w:val="Compact"/>
        <w:numPr>
          <w:ilvl w:val="0"/>
          <w:numId w:val="1012"/>
        </w:numPr>
      </w:pPr>
      <w:r>
        <w:t xml:space="preserve">O&amp;M improves from Q1</w:t>
      </w:r>
    </w:p>
    <w:p>
      <w:pPr>
        <w:pStyle w:val="Compact"/>
        <w:numPr>
          <w:ilvl w:val="0"/>
          <w:numId w:val="1012"/>
        </w:numPr>
      </w:pPr>
      <w:r>
        <w:t xml:space="preserve">No meaningful change to capital or equity requirements</w:t>
      </w:r>
    </w:p>
    <w:p>
      <w:pPr>
        <w:pStyle w:val="Compact"/>
        <w:numPr>
          <w:ilvl w:val="0"/>
          <w:numId w:val="1012"/>
        </w:numPr>
      </w:pPr>
      <w:r>
        <w:t xml:space="preserve">July events are described as manageable and largely recoverable</w:t>
      </w:r>
    </w:p>
    <w:bookmarkEnd w:id="29"/>
    <w:bookmarkStart w:id="30" w:name="base-case"/>
    <w:p>
      <w:pPr>
        <w:pStyle w:val="Heading3"/>
      </w:pPr>
      <w:r>
        <w:t xml:space="preserve">Base case</w:t>
      </w:r>
    </w:p>
    <w:p>
      <w:pPr>
        <w:pStyle w:val="Compact"/>
        <w:numPr>
          <w:ilvl w:val="0"/>
          <w:numId w:val="1013"/>
        </w:numPr>
      </w:pPr>
      <w:r>
        <w:t xml:space="preserve">EPS around</w:t>
      </w:r>
      <w:r>
        <w:t xml:space="preserve"> </w:t>
      </w:r>
      <m:oMath>
        <m:r>
          <m:t>0.74</m:t>
        </m:r>
        <m:r>
          <m:rPr>
            <m:sty m:val="p"/>
          </m:rPr>
          <m:t>–</m:t>
        </m:r>
      </m:oMath>
      <w:r>
        <w:t xml:space="preserve">0.76</w:t>
      </w:r>
    </w:p>
    <w:p>
      <w:pPr>
        <w:pStyle w:val="Compact"/>
        <w:numPr>
          <w:ilvl w:val="0"/>
          <w:numId w:val="1013"/>
        </w:numPr>
      </w:pPr>
      <m:oMath>
        <m:r>
          <m:t>6.00</m:t>
        </m:r>
        <m:r>
          <m:rPr>
            <m:sty m:val="p"/>
          </m:rPr>
          <m:t>–</m:t>
        </m:r>
      </m:oMath>
      <w:r>
        <w:t xml:space="preserve">6.20 guidance reaffirmed</w:t>
      </w:r>
    </w:p>
    <w:p>
      <w:pPr>
        <w:pStyle w:val="Compact"/>
        <w:numPr>
          <w:ilvl w:val="0"/>
          <w:numId w:val="1013"/>
        </w:numPr>
      </w:pPr>
      <w:r>
        <w:t xml:space="preserve">Continued rate-base growth, offset by interest and dilution</w:t>
      </w:r>
    </w:p>
    <w:p>
      <w:pPr>
        <w:pStyle w:val="Compact"/>
        <w:numPr>
          <w:ilvl w:val="0"/>
          <w:numId w:val="1013"/>
        </w:numPr>
      </w:pPr>
      <w:r>
        <w:t xml:space="preserve">No material changes to capital spending or financing</w:t>
      </w:r>
    </w:p>
    <w:p>
      <w:pPr>
        <w:pStyle w:val="FirstParagraph"/>
      </w:pPr>
      <w:r>
        <w:t xml:space="preserve">This would confirm the long-term thesis but might produce only a modest stock reaction.</w:t>
      </w:r>
    </w:p>
    <w:bookmarkEnd w:id="30"/>
    <w:bookmarkStart w:id="31" w:name="bear-case"/>
    <w:p>
      <w:pPr>
        <w:pStyle w:val="Heading3"/>
      </w:pPr>
      <w:r>
        <w:t xml:space="preserve">Bear case</w:t>
      </w:r>
    </w:p>
    <w:p>
      <w:pPr>
        <w:pStyle w:val="Compact"/>
        <w:numPr>
          <w:ilvl w:val="0"/>
          <w:numId w:val="1014"/>
        </w:numPr>
      </w:pPr>
      <w:r>
        <w:t xml:space="preserve">EPS below approximately $0.70</w:t>
      </w:r>
    </w:p>
    <w:p>
      <w:pPr>
        <w:pStyle w:val="Compact"/>
        <w:numPr>
          <w:ilvl w:val="0"/>
          <w:numId w:val="1014"/>
        </w:numPr>
      </w:pPr>
      <w:r>
        <w:t xml:space="preserve">Guidance reduced or management emphasizes the lower end</w:t>
      </w:r>
    </w:p>
    <w:p>
      <w:pPr>
        <w:pStyle w:val="Compact"/>
        <w:numPr>
          <w:ilvl w:val="0"/>
          <w:numId w:val="1014"/>
        </w:numPr>
      </w:pPr>
      <w:r>
        <w:t xml:space="preserve">O&amp;M remains elevated</w:t>
      </w:r>
    </w:p>
    <w:p>
      <w:pPr>
        <w:pStyle w:val="Compact"/>
        <w:numPr>
          <w:ilvl w:val="0"/>
          <w:numId w:val="1014"/>
        </w:numPr>
      </w:pPr>
      <w:r>
        <w:t xml:space="preserve">July heat and storm costs create second-half risk</w:t>
      </w:r>
    </w:p>
    <w:p>
      <w:pPr>
        <w:pStyle w:val="Compact"/>
        <w:numPr>
          <w:ilvl w:val="0"/>
          <w:numId w:val="1014"/>
        </w:numPr>
      </w:pPr>
      <w:r>
        <w:t xml:space="preserve">Equity issuance or capital needs increase</w:t>
      </w:r>
    </w:p>
    <w:p>
      <w:pPr>
        <w:pStyle w:val="Compact"/>
        <w:numPr>
          <w:ilvl w:val="0"/>
          <w:numId w:val="1014"/>
        </w:numPr>
      </w:pPr>
      <w:r>
        <w:t xml:space="preserve">Steam-rate or other regulatory developments become less constructive</w:t>
      </w:r>
    </w:p>
    <w:p>
      <w:pPr>
        <w:pStyle w:val="Compact"/>
        <w:numPr>
          <w:ilvl w:val="0"/>
          <w:numId w:val="1014"/>
        </w:numPr>
      </w:pPr>
      <w:r>
        <w:t xml:space="preserve">Actual regulated returns fall further below authorized levels</w:t>
      </w:r>
    </w:p>
    <w:bookmarkEnd w:id="31"/>
    <w:bookmarkEnd w:id="32"/>
    <w:bookmarkStart w:id="33" w:name="bottom-line"/>
    <w:p>
      <w:pPr>
        <w:pStyle w:val="Heading2"/>
      </w:pPr>
      <w:r>
        <w:t xml:space="preserve">Bottom line</w:t>
      </w:r>
    </w:p>
    <w:p>
      <w:pPr>
        <w:pStyle w:val="FirstParagraph"/>
      </w:pPr>
      <w:r>
        <w:t xml:space="preserve">ED enters the report with a credible regulated-growth story, favorable multiyear rate visibility, and an attractive record of dividend growth. But the stock has already outperformed utilities in 2026, while Q1 exposed the pressure from O&amp;M, interest expense, and dilution.</w:t>
      </w:r>
    </w:p>
    <w:p>
      <w:pPr>
        <w:pStyle w:val="BodyText"/>
      </w:pPr>
      <w:r>
        <w:t xml:space="preserve">The most important outcome is therefore not whether Q2 EPS beats consensus by a few cents. It is whether management can show that:</w:t>
      </w:r>
    </w:p>
    <w:p>
      <w:pPr>
        <w:pStyle w:val="Compact"/>
        <w:numPr>
          <w:ilvl w:val="0"/>
          <w:numId w:val="1015"/>
        </w:numPr>
      </w:pPr>
      <w:r>
        <w:rPr>
          <w:b/>
          <w:bCs/>
        </w:rPr>
        <w:t xml:space="preserve">Rate-base growth is converting into per-share earnings growth</w:t>
      </w:r>
    </w:p>
    <w:p>
      <w:pPr>
        <w:pStyle w:val="Compact"/>
        <w:numPr>
          <w:ilvl w:val="0"/>
          <w:numId w:val="1015"/>
        </w:numPr>
      </w:pPr>
      <w:r>
        <w:rPr>
          <w:b/>
          <w:bCs/>
        </w:rPr>
        <w:t xml:space="preserve">Expenses are under control</w:t>
      </w:r>
    </w:p>
    <w:p>
      <w:pPr>
        <w:pStyle w:val="Compact"/>
        <w:numPr>
          <w:ilvl w:val="0"/>
          <w:numId w:val="1015"/>
        </w:numPr>
      </w:pPr>
      <w:r>
        <w:rPr>
          <w:b/>
          <w:bCs/>
        </w:rPr>
        <w:t xml:space="preserve">The July reliability events do not derail the outlook</w:t>
      </w:r>
    </w:p>
    <w:p>
      <w:pPr>
        <w:pStyle w:val="Compact"/>
        <w:numPr>
          <w:ilvl w:val="0"/>
          <w:numId w:val="1015"/>
        </w:numPr>
      </w:pPr>
      <w:r>
        <w:rPr>
          <w:b/>
          <w:bCs/>
        </w:rPr>
        <w:t xml:space="preserve">The funding plan remains predictable</w:t>
      </w:r>
    </w:p>
    <w:p>
      <w:pPr>
        <w:pStyle w:val="Compact"/>
        <w:numPr>
          <w:ilvl w:val="0"/>
          <w:numId w:val="1015"/>
        </w:numPr>
      </w:pPr>
      <w:r>
        <w:rPr>
          <w:b/>
          <w:bCs/>
        </w:rPr>
        <w:t xml:space="preserve">The</w:t>
      </w:r>
      <w:r>
        <w:rPr>
          <w:b/>
          <w:bCs/>
        </w:rPr>
        <w:t xml:space="preserve"> </w:t>
      </w:r>
      <m:oMath>
        <m:r>
          <m:t>6.00</m:t>
        </m:r>
        <m:r>
          <m:rPr>
            <m:sty m:val="p"/>
          </m:rPr>
          <m:t>–</m:t>
        </m:r>
      </m:oMath>
      <w:r>
        <w:rPr>
          <w:b/>
          <w:bCs/>
        </w:rPr>
        <w:t xml:space="preserve">6.20 guidance range is secure</w:t>
      </w:r>
    </w:p>
    <w:p>
      <w:pPr>
        <w:pStyle w:val="FirstParagraph"/>
      </w:pPr>
      <w:r>
        <w:t xml:space="preserve">An in-line quarter with clean guidance should preserve the thesis. A guidance-positive report with better expense execution could support further upside; a lower-end bias combined with higher financing or reliability costs would challenge the current valuation.</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1" Target="https://investor.conedison.com/news-releases/news-release-details/con-edison-announces-2-billion-market-atm-equity-offering?utm_source=openai" TargetMode="External" /><Relationship Type="http://schemas.openxmlformats.org/officeDocument/2006/relationships/hyperlink" Id="rId9" Target="https://investor.conedison.com/press-releases/?utm_source=openai" TargetMode="External" /><Relationship Type="http://schemas.openxmlformats.org/officeDocument/2006/relationships/hyperlink" Id="rId24" Target="https://investor.conedison.com/static-files/61d4742c-aff4-48bd-a8dc-73d1f7b88cb2?utm_source=openai" TargetMode="External" /><Relationship Type="http://schemas.openxmlformats.org/officeDocument/2006/relationships/hyperlink" Id="rId20" Target="https://investor.conedison.com/static-files/cc5f9612-39d4-47fc-b8ea-49303c446f30?utm_source=openai" TargetMode="External" /><Relationship Type="http://schemas.openxmlformats.org/officeDocument/2006/relationships/hyperlink" Id="rId11" Target="https://www.benzinga.com/quote/ED/earnings?utm_source=openai" TargetMode="External" /><Relationship Type="http://schemas.openxmlformats.org/officeDocument/2006/relationships/hyperlink" Id="rId18" Target="https://www.coned.com/en/about-us/media-center/news/2026/05-27/con-ed-invests-3-9-billion-in-system-upgrades?utm_source=openai" TargetMode="External" /><Relationship Type="http://schemas.openxmlformats.org/officeDocument/2006/relationships/hyperlink" Id="rId17" Target="https://www.coned.com/en/about-us/media-center/news/2026/07-05/con-edison-restores-power-to-customers?utm_source=openai" TargetMode="External" /></Relationships>
</file>

<file path=word/_rels/footnotes.xml.rels><?xml version="1.0" encoding="UTF-8"?><Relationships xmlns="http://schemas.openxmlformats.org/package/2006/relationships"><Relationship Type="http://schemas.openxmlformats.org/officeDocument/2006/relationships/hyperlink" Id="rId21" Target="https://investor.conedison.com/news-releases/news-release-details/con-edison-announces-2-billion-market-atm-equity-offering?utm_source=openai" TargetMode="External" /><Relationship Type="http://schemas.openxmlformats.org/officeDocument/2006/relationships/hyperlink" Id="rId9" Target="https://investor.conedison.com/press-releases/?utm_source=openai" TargetMode="External" /><Relationship Type="http://schemas.openxmlformats.org/officeDocument/2006/relationships/hyperlink" Id="rId24" Target="https://investor.conedison.com/static-files/61d4742c-aff4-48bd-a8dc-73d1f7b88cb2?utm_source=openai" TargetMode="External" /><Relationship Type="http://schemas.openxmlformats.org/officeDocument/2006/relationships/hyperlink" Id="rId20" Target="https://investor.conedison.com/static-files/cc5f9612-39d4-47fc-b8ea-49303c446f30?utm_source=openai" TargetMode="External" /><Relationship Type="http://schemas.openxmlformats.org/officeDocument/2006/relationships/hyperlink" Id="rId11" Target="https://www.benzinga.com/quote/ED/earnings?utm_source=openai" TargetMode="External" /><Relationship Type="http://schemas.openxmlformats.org/officeDocument/2006/relationships/hyperlink" Id="rId18" Target="https://www.coned.com/en/about-us/media-center/news/2026/05-27/con-ed-invests-3-9-billion-in-system-upgrades?utm_source=openai" TargetMode="External" /><Relationship Type="http://schemas.openxmlformats.org/officeDocument/2006/relationships/hyperlink" Id="rId17" Target="https://www.coned.com/en/about-us/media-center/news/2026/07-05/con-edison-restores-power-to-customer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2026-08-06T01:25:08Z</dcterms:created>
  <dcterms:modified xsi:type="dcterms:W3CDTF">2026-08-06T01:25:08Z</dcterms:modified>
</cp:coreProperties>
</file>

<file path=docProps/custom.xml><?xml version="1.0" encoding="utf-8"?>
<Properties xmlns="http://schemas.openxmlformats.org/officeDocument/2006/custom-properties" xmlns:vt="http://schemas.openxmlformats.org/officeDocument/2006/docPropsVTypes"/>
</file>