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ed-earnings-predictions--2026-08-06"/>
    <w:p>
      <w:pPr>
        <w:pStyle w:val="Heading1"/>
      </w:pPr>
      <w:r>
        <w:t xml:space="preserve">ED Earnings Predictions — 2026-08-06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ED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2Q26 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~$0.69 vs. cons $0.68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2Q26 operating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~$3.86B vs. cons $3.80B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ED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2Q26 other operations and maintenance expense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~$0.98B vs. cons $0.96B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2026 adjusted EPS guidance midpoint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~$6.10 vs. cons $6.10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ED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2026 utility capital-investment plan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~$6.53B vs. cons $6.53B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2026 common-equity issuance expectation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~$1.10B vs. cons $1.10B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ED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+0.7%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ED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-0.5% (FADE)</w:t>
            </w:r>
          </w:p>
        </w:tc>
        <w:tc>
          <w:tcPr/>
          <w:p>
            <w:pPr>
              <w:pStyle w:val="Compact"/>
            </w:pPr>
            <w:r>
              <w:t xml:space="preserve">A modest ~$0.01 EPS beat versus</w:t>
            </w:r>
            <w:r>
              <w:t xml:space="preserve"> </w:t>
            </w:r>
            <w:r>
              <w:t xml:space="preserve">$0.68 consensus is likely offset by O&amp;M running about ~$</w:t>
            </w:r>
            <w:r>
              <w:t xml:space="preserve">0.02B above consensus and unchanged ~</w:t>
            </w:r>
            <m:oMath>
              <m:r>
                <m:t>6.10</m:t>
              </m:r>
              <m:r>
                <m:t>F</m:t>
              </m:r>
              <m:r>
                <m:t>Y</m:t>
              </m:r>
              <m:r>
                <m:t>2026</m:t>
              </m:r>
              <m:r>
                <m:t>m</m:t>
              </m:r>
              <m:r>
                <m:t>i</m:t>
              </m:r>
              <m:r>
                <m:t>d</m:t>
              </m:r>
              <m:r>
                <m:t>p</m:t>
              </m:r>
              <m:r>
                <m:t>o</m:t>
              </m:r>
              <m:r>
                <m:t>i</m:t>
              </m:r>
              <m:r>
                <m:t>n</m:t>
              </m:r>
              <m:r>
                <m:t>t</m:t>
              </m:r>
              <m:r>
                <m:t>g</m:t>
              </m:r>
              <m:r>
                <m:t>u</m:t>
              </m:r>
              <m:r>
                <m:t>i</m:t>
              </m:r>
              <m:r>
                <m:t>d</m:t>
              </m:r>
              <m:r>
                <m:t>a</m:t>
              </m:r>
              <m:r>
                <m:t>n</m:t>
              </m:r>
              <m:r>
                <m:t>c</m:t>
              </m:r>
              <m:r>
                <m:t>e</m:t>
              </m:r>
              <m:r>
                <m:t>v</m:t>
              </m:r>
              <m:r>
                <m:t>e</m:t>
              </m:r>
              <m:r>
                <m:t>r</m:t>
              </m:r>
              <m:r>
                <m:t>s</m:t>
              </m:r>
              <m:r>
                <m:t>u</m:t>
              </m:r>
              <m:r>
                <m:t>s</m:t>
              </m:r>
              <m:r>
                <m:t> </m:t>
              </m:r>
            </m:oMath>
            <w:r>
              <w:t xml:space="preserve">6.10 consensus; absent an upward out-period earnings revision, an initially favorable print should fade.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2026-08-06T01:21:58Z</dcterms:created>
  <dcterms:modified xsi:type="dcterms:W3CDTF">2026-08-06T01:21:58Z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