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3913267173f3ed39e742264f58cc93716bce88"/>
    <w:p>
      <w:pPr>
        <w:pStyle w:val="Heading1"/>
      </w:pPr>
      <w:r>
        <w:t xml:space="preserve">Con Edison (NYSE: ED)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supplied is</w:t>
      </w:r>
      <w:r>
        <w:t xml:space="preserve"> </w:t>
      </w:r>
      <w:r>
        <w:rPr>
          <w:b/>
          <w:bCs/>
        </w:rPr>
        <w:t xml:space="preserve">August 6, 2026</w:t>
      </w:r>
      <w:r>
        <w:t xml:space="preserve">. Since today is also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, this preview treats the report as</w:t>
      </w:r>
      <w:r>
        <w:t xml:space="preserve"> </w:t>
      </w:r>
      <w:r>
        <w:rPr>
          <w:b/>
          <w:bCs/>
        </w:rPr>
        <w:t xml:space="preserve">due today</w:t>
      </w:r>
      <w:r>
        <w:t xml:space="preserve">, rather than tomorrow.</w:t>
      </w:r>
    </w:p>
    <w:bookmarkStart w:id="9" w:name="what-matters-most"/>
    <w:p>
      <w:pPr>
        <w:pStyle w:val="Heading2"/>
      </w:pPr>
      <w:r>
        <w:t xml:space="preserve">What matters most</w:t>
      </w:r>
    </w:p>
    <w:p>
      <w:pPr>
        <w:pStyle w:val="FirstParagraph"/>
      </w:pPr>
      <w:r>
        <w:t xml:space="preserve">For Con Edison, the headline quarterly EPS print is less important than three questions: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management reaffirm the</w:t>
      </w:r>
      <w:r>
        <w:rPr>
          <w:b/>
          <w:bCs/>
        </w:rPr>
        <w:t xml:space="preserve"> </w:t>
      </w:r>
      <m:oMath>
        <m:r>
          <m:t>6.00</m:t>
        </m:r>
        <m:r>
          <m:rPr>
            <m:sty m:val="p"/>
          </m:rPr>
          <m:t>–</m:t>
        </m:r>
      </m:oMath>
      <w:r>
        <w:rPr>
          <w:b/>
          <w:bCs/>
        </w:rPr>
        <w:t xml:space="preserve">6.20 adjusted EPS outlook for 2026?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regulated rate-base growth still overcoming higher O&amp;M, financing costs, and share dilution?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reliability, affordability, receivables, and regulatory developments creating incremental risk—or incremental investment opportunity?</w:t>
      </w:r>
    </w:p>
    <w:p>
      <w:pPr>
        <w:pStyle w:val="FirstParagraph"/>
      </w:pPr>
      <w:r>
        <w:t xml:space="preserve">ED entered 2026 with strong regulated-growth visibility: its five-year forecast called for an</w:t>
      </w:r>
      <w:r>
        <w:t xml:space="preserve"> </w:t>
      </w:r>
      <w:r>
        <w:rPr>
          <w:b/>
          <w:bCs/>
        </w:rPr>
        <w:t xml:space="preserve">8.8% CAGR in regulated investment base</w:t>
      </w:r>
      <w:r>
        <w:t xml:space="preserve"> </w:t>
      </w:r>
      <w:r>
        <w:t xml:space="preserve">through 2030, supported by a sharply increasing capital program. Management forecasts utility capital investment of</w:t>
      </w:r>
      <w:r>
        <w:t xml:space="preserve"> </w:t>
      </w:r>
      <m:oMath>
        <m:r>
          <m:t>6.53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8.57 billion by 2030</w:t>
      </w:r>
      <w:r>
        <w:t xml:space="preserve">. The report should therefore be read primarily as an execution update on that investment and financing plan—not as a demand-sensitive utility quarter.</w:t>
      </w:r>
    </w:p>
    <w:bookmarkEnd w:id="9"/>
    <w:bookmarkStart w:id="10" w:name="X782fe5546257cdc2a4799d46a46ba9c9c54a8ad"/>
    <w:p>
      <w:pPr>
        <w:pStyle w:val="Heading2"/>
      </w:pPr>
      <w:r>
        <w:t xml:space="preserve">Starting point: 1Q set a mixed, but manageable, setup</w:t>
      </w:r>
    </w:p>
    <w:p>
      <w:pPr>
        <w:pStyle w:val="FirstParagraph"/>
      </w:pPr>
      <w:r>
        <w:t xml:space="preserve">In 1Q26, ED reported</w:t>
      </w:r>
      <w:r>
        <w:t xml:space="preserve"> </w:t>
      </w:r>
      <m:oMath>
        <m:r>
          <m:t>2.55</m:t>
        </m:r>
        <m:r>
          <m:t>o</m:t>
        </m:r>
        <m:r>
          <m:t>f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0.37-per-share gain</w:t>
      </w:r>
      <w:r>
        <w:t xml:space="preserve"> </w:t>
      </w:r>
      <w:r>
        <w:t xml:space="preserve">on the sale of its Mountain Valley Pipeline stake. On an adjusted basis, EPS was</w:t>
      </w:r>
      <w:r>
        <w:t xml:space="preserve"> </w:t>
      </w:r>
      <m:oMath>
        <m:r>
          <m:t>2.18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2.26</w:t>
      </w:r>
      <w:r>
        <w:t xml:space="preserve"> </w:t>
      </w:r>
      <w:r>
        <w:t xml:space="preserve">a year earlier.</w:t>
      </w:r>
    </w:p>
    <w:p>
      <w:pPr>
        <w:pStyle w:val="BodyText"/>
      </w:pPr>
      <w:r>
        <w:t xml:space="preserve">The core message was less favorable than the GAAP number implied: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CECONY adjusted earnings declined $0.11 per share year over year.</w:t>
      </w:r>
    </w:p>
    <w:p>
      <w:pPr>
        <w:pStyle w:val="Compact"/>
        <w:numPr>
          <w:ilvl w:val="0"/>
          <w:numId w:val="1002"/>
        </w:numPr>
      </w:pPr>
      <w:r>
        <w:t xml:space="preserve">Higher electric and gas rate base contributed</w:t>
      </w:r>
      <w:r>
        <w:t xml:space="preserve"> </w:t>
      </w:r>
      <w:r>
        <w:rPr>
          <w:b/>
          <w:bCs/>
        </w:rPr>
        <w:t xml:space="preserve">+</w:t>
      </w:r>
      <m:oMath>
        <m:r>
          <m:t>0.08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A</m:t>
        </m:r>
        <m:r>
          <m:t>F</m:t>
        </m:r>
        <m:r>
          <m:t>U</m:t>
        </m:r>
        <m:r>
          <m:t>D</m:t>
        </m:r>
        <m:r>
          <m:t>C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+</m:t>
        </m:r>
      </m:oMath>
      <w:r>
        <w:rPr>
          <w:b/>
          <w:bCs/>
        </w:rPr>
        <w:t xml:space="preserve">0.01/share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Those gains were more than offset by higher O&amp;M (</w:t>
      </w:r>
      <w:r>
        <w:rPr>
          <w:b/>
          <w:bCs/>
        </w:rPr>
        <w:t xml:space="preserve">-</w:t>
      </w:r>
      <m:oMath>
        <m:r>
          <m:t>0.08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rPr>
            <m:sty m:val="p"/>
          </m:rPr>
          <m:t>(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−</m:t>
        </m:r>
      </m:oMath>
      <w:r>
        <w:rPr>
          <w:b/>
          <w:bCs/>
        </w:rPr>
        <w:t xml:space="preserve">0.03</w:t>
      </w:r>
      <w:r>
        <w:t xml:space="preserve">), corporate expense (</w:t>
      </w:r>
      <w:r>
        <w:rPr>
          <w:b/>
          <w:bCs/>
        </w:rPr>
        <w:t xml:space="preserve">-</w:t>
      </w:r>
      <m:oMath>
        <m:r>
          <m:t>0.01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d</m:t>
        </m:r>
        <m:r>
          <m:t>i</m:t>
        </m:r>
        <m:r>
          <m:t>l</m:t>
        </m:r>
        <m:r>
          <m:t>u</m:t>
        </m:r>
        <m:r>
          <m:t>t</m:t>
        </m:r>
        <m:r>
          <m:t>i</m:t>
        </m:r>
        <m:r>
          <m:t>v</m:t>
        </m:r>
        <m:r>
          <m:t>e</m:t>
        </m:r>
        <m:r>
          <m:t>i</m:t>
        </m:r>
        <m:r>
          <m:t>m</m:t>
        </m:r>
        <m:r>
          <m:t>p</m:t>
        </m:r>
        <m:r>
          <m:t>a</m:t>
        </m:r>
        <m:r>
          <m:t>c</m:t>
        </m:r>
        <m:r>
          <m:t>t</m:t>
        </m:r>
        <m:r>
          <m:t>o</m:t>
        </m:r>
        <m:r>
          <m:t>f</m:t>
        </m:r>
        <m:r>
          <m:t>n</m:t>
        </m:r>
        <m:r>
          <m:t>e</m:t>
        </m:r>
        <m:r>
          <m:t>w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(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−</m:t>
        </m:r>
      </m:oMath>
      <w:r>
        <w:rPr>
          <w:b/>
          <w:bCs/>
        </w:rPr>
        <w:t xml:space="preserve">0.08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O&amp;R added</w:t>
      </w:r>
      <w:r>
        <w:t xml:space="preserve"> </w:t>
      </w:r>
      <w:r>
        <w:rPr>
          <w:b/>
          <w:bCs/>
        </w:rPr>
        <w:t xml:space="preserve">+$0.01/share</w:t>
      </w:r>
      <w:r>
        <w:t xml:space="preserve">.</w:t>
      </w:r>
    </w:p>
    <w:p>
      <w:pPr>
        <w:pStyle w:val="FirstParagraph"/>
      </w:pPr>
      <w:r>
        <w:t xml:space="preserve">That makes 2Q a test of whether 1Q cost and financing pressure was temporary/noisy or a more durable drag on the path to the midpoint of guidance.</w:t>
      </w:r>
    </w:p>
    <w:bookmarkEnd w:id="10"/>
    <w:bookmarkStart w:id="14" w:name="the-quarters-earnings-setup"/>
    <w:p>
      <w:pPr>
        <w:pStyle w:val="Heading2"/>
      </w:pPr>
      <w:r>
        <w:t xml:space="preserve">The quarter’s earnings setup</w:t>
      </w:r>
    </w:p>
    <w:bookmarkStart w:id="11" w:name="Xb3f42e6f4ac754855af5055c26d751c2fb42de4"/>
    <w:p>
      <w:pPr>
        <w:pStyle w:val="Heading3"/>
      </w:pPr>
      <w:r>
        <w:t xml:space="preserve">1. Rate-base execution remains the central positive</w:t>
      </w:r>
    </w:p>
    <w:p>
      <w:pPr>
        <w:pStyle w:val="FirstParagraph"/>
      </w:pPr>
      <w:r>
        <w:t xml:space="preserve">ED has unusually high visibility into regulated investment growth:</w:t>
      </w:r>
    </w:p>
    <w:p>
      <w:pPr>
        <w:pStyle w:val="Compact"/>
        <w:numPr>
          <w:ilvl w:val="0"/>
          <w:numId w:val="1003"/>
        </w:numPr>
      </w:pPr>
      <w:r>
        <w:t xml:space="preserve">CECONY electric and gas rate plans run through</w:t>
      </w:r>
      <w:r>
        <w:t xml:space="preserve"> </w:t>
      </w:r>
      <w:r>
        <w:rPr>
          <w:b/>
          <w:bCs/>
        </w:rPr>
        <w:t xml:space="preserve">December 2028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O&amp;R’s New York electric and gas plans run through</w:t>
      </w:r>
      <w:r>
        <w:t xml:space="preserve"> </w:t>
      </w:r>
      <w:r>
        <w:rPr>
          <w:b/>
          <w:bCs/>
        </w:rPr>
        <w:t xml:space="preserve">December 2027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The company’s average utility rate base is projected to rise from</w:t>
      </w:r>
      <w:r>
        <w:t xml:space="preserve"> </w:t>
      </w:r>
      <m:oMath>
        <m:r>
          <m:t>46.4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2025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67.2 billion in 2030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Electric-load growth is being supported by building electrification, transportation electrification, major New York infrastructure projects, and reliability-related transmission needs.</w:t>
      </w:r>
    </w:p>
    <w:p>
      <w:pPr>
        <w:pStyle w:val="FirstParagraph"/>
      </w:pPr>
      <w:r>
        <w:t xml:space="preserve">The positive 2Q read-through would be continued capex deployment without material project-cost, supply-chain, or affordability friction. ED’s 2026 plan already embeds a substantial step-up in investment, particularly in CECONY electric infrastructure.</w:t>
      </w:r>
    </w:p>
    <w:bookmarkEnd w:id="11"/>
    <w:bookmarkStart w:id="12" w:name="X627dade3e29eccb3220ecd4aeaa33d43ff22965"/>
    <w:p>
      <w:pPr>
        <w:pStyle w:val="Heading3"/>
      </w:pPr>
      <w:r>
        <w:t xml:space="preserve">2. Guidance reaffirmation is likely the key stock catalyst</w:t>
      </w:r>
    </w:p>
    <w:p>
      <w:pPr>
        <w:pStyle w:val="FirstParagraph"/>
      </w:pPr>
      <w:r>
        <w:t xml:space="preserve">Management reaffirmed</w:t>
      </w:r>
      <w:r>
        <w:t xml:space="preserve"> </w:t>
      </w:r>
      <w:r>
        <w:rPr>
          <w:b/>
          <w:bCs/>
        </w:rPr>
        <w:t xml:space="preserve">2026 adjusted EPS guidance of</w:t>
      </w:r>
      <w:r>
        <w:rPr>
          <w:b/>
          <w:bCs/>
        </w:rPr>
        <w:t xml:space="preserve"> </w:t>
      </w:r>
      <m:oMath>
        <m:r>
          <m:t>6.00</m:t>
        </m:r>
        <m:r>
          <m:rPr>
            <m:sty m:val="p"/>
          </m:rPr>
          <m:t>–</m:t>
        </m:r>
      </m:oMath>
      <w:r>
        <w:rPr>
          <w:b/>
          <w:bCs/>
        </w:rPr>
        <w:t xml:space="preserve">6.20</w:t>
      </w:r>
      <w:r>
        <w:t xml:space="preserve"> </w:t>
      </w:r>
      <w:r>
        <w:t xml:space="preserve">in May. A reaffirmation would indicate that the company still sees rate-base growth, new rate plans, and operational execution as sufficient to absorb known headwinds.</w:t>
      </w:r>
    </w:p>
    <w:p>
      <w:pPr>
        <w:pStyle w:val="BodyText"/>
      </w:pPr>
      <w:r>
        <w:t xml:space="preserve">A raise is possible but not the base case: ED’s model favors steady annual delivery rather than frequent upward revisions, and the company faces elevated financing and customer-affordability considerations. Conversely, any guide-down—or even unusually qualified reaffirmation—would likely matter more than a modest quarterly EPS beat or miss.</w:t>
      </w:r>
    </w:p>
    <w:bookmarkEnd w:id="12"/>
    <w:bookmarkStart w:id="13" w:name="Xcc9b61161d56420db98c85186ed72e4224766b0"/>
    <w:p>
      <w:pPr>
        <w:pStyle w:val="Heading3"/>
      </w:pPr>
      <w:r>
        <w:t xml:space="preserve">3. Share dilution and financing costs deserve close attention</w:t>
      </w:r>
    </w:p>
    <w:p>
      <w:pPr>
        <w:pStyle w:val="FirstParagraph"/>
      </w:pPr>
      <w:r>
        <w:t xml:space="preserve">ED physically settled a forward equity sale for</w:t>
      </w:r>
      <w:r>
        <w:t xml:space="preserve"> </w:t>
      </w:r>
      <w:r>
        <w:rPr>
          <w:b/>
          <w:bCs/>
        </w:rPr>
        <w:t xml:space="preserve">7 million shares</w:t>
      </w:r>
      <w:r>
        <w:t xml:space="preserve"> </w:t>
      </w:r>
      <w:r>
        <w:t xml:space="preserve">in 1Q26, generating approximately</w:t>
      </w:r>
      <w:r>
        <w:t xml:space="preserve"> </w:t>
      </w:r>
      <m:oMath>
        <m:r>
          <m:t>776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s</m:t>
        </m:r>
        <m:r>
          <m:t>t</m:t>
        </m:r>
        <m:r>
          <m:t>r</m:t>
        </m:r>
        <m:r>
          <m:t>e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n</m:t>
        </m:r>
        <m:r>
          <m:t>e</m:t>
        </m:r>
        <m:r>
          <m:t>d</m:t>
        </m:r>
        <m:r>
          <m:t>f</m:t>
        </m:r>
        <m:r>
          <m:t>u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a</m:t>
        </m:r>
        <m:r>
          <m:t>m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o</m:t>
        </m:r>
        <m:r>
          <m:t>c</m:t>
        </m:r>
        <m:r>
          <m:t>r</m:t>
        </m:r>
        <m:r>
          <m:t>e</m:t>
        </m:r>
        <m:r>
          <m:t>a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0.08/share</w:t>
      </w:r>
      <w:r>
        <w:t xml:space="preserve"> </w:t>
      </w:r>
      <w:r>
        <w:t xml:space="preserve">year-over-year dilution headwind in the first quarter.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4"/>
        </w:numPr>
      </w:pPr>
      <w:r>
        <w:t xml:space="preserve">Whether management changes its</w:t>
      </w:r>
      <w:r>
        <w:t xml:space="preserve"> </w:t>
      </w:r>
      <w:r>
        <w:rPr>
          <w:b/>
          <w:bCs/>
        </w:rPr>
        <w:t xml:space="preserve">up-to-$1.1 billion 2026 equity issuance</w:t>
      </w:r>
      <w:r>
        <w:t xml:space="preserve"> </w:t>
      </w:r>
      <w:r>
        <w:t xml:space="preserve">expectation;</w:t>
      </w:r>
    </w:p>
    <w:p>
      <w:pPr>
        <w:pStyle w:val="Compact"/>
        <w:numPr>
          <w:ilvl w:val="0"/>
          <w:numId w:val="1004"/>
        </w:numPr>
      </w:pPr>
      <w:r>
        <w:t xml:space="preserve">Long-term debt issuance plans and borrowing costs;</w:t>
      </w:r>
    </w:p>
    <w:p>
      <w:pPr>
        <w:pStyle w:val="Compact"/>
        <w:numPr>
          <w:ilvl w:val="0"/>
          <w:numId w:val="1004"/>
        </w:numPr>
      </w:pPr>
      <w:r>
        <w:t xml:space="preserve">Commercial-paper usage and interest expense;</w:t>
      </w:r>
    </w:p>
    <w:p>
      <w:pPr>
        <w:pStyle w:val="Compact"/>
        <w:numPr>
          <w:ilvl w:val="0"/>
          <w:numId w:val="1004"/>
        </w:numPr>
      </w:pPr>
      <w:r>
        <w:t xml:space="preserve">The health of credit metrics, especially after Moody’s placed Con Edison and CECONY on</w:t>
      </w:r>
      <w:r>
        <w:t xml:space="preserve"> </w:t>
      </w:r>
      <w:r>
        <w:rPr>
          <w:b/>
          <w:bCs/>
        </w:rPr>
        <w:t xml:space="preserve">negative outlook</w:t>
      </w:r>
      <w:r>
        <w:t xml:space="preserve"> </w:t>
      </w:r>
      <w:r>
        <w:t xml:space="preserve">in 1Q.</w:t>
      </w:r>
    </w:p>
    <w:p>
      <w:pPr>
        <w:pStyle w:val="FirstParagraph"/>
      </w:pPr>
      <w:r>
        <w:t xml:space="preserve">Higher interest rates are particularly relevant to ED’s valuation and earnings mechanics: the company has a large, growing capital program and must continuously finance construction spending. ED closed at</w:t>
      </w:r>
      <w:r>
        <w:t xml:space="preserve"> </w:t>
      </w:r>
      <w:r>
        <w:rPr>
          <w:b/>
          <w:bCs/>
        </w:rPr>
        <w:t xml:space="preserve">$108.35 on August 5</w:t>
      </w:r>
      <w:r>
        <w:t xml:space="preserve">, up about</w:t>
      </w:r>
      <w:r>
        <w:t xml:space="preserve"> </w:t>
      </w:r>
      <w:r>
        <w:rPr>
          <w:b/>
          <w:bCs/>
        </w:rPr>
        <w:t xml:space="preserve">9.1% year to date</w:t>
      </w:r>
      <w:r>
        <w:t xml:space="preserve">, but roughly</w:t>
      </w:r>
      <w:r>
        <w:t xml:space="preserve"> </w:t>
      </w:r>
      <w:r>
        <w:rPr>
          <w:b/>
          <w:bCs/>
        </w:rPr>
        <w:t xml:space="preserve">4.9% below</w:t>
      </w:r>
      <w:r>
        <w:t xml:space="preserve"> </w:t>
      </w:r>
      <w:r>
        <w:t xml:space="preserve">its July 2 closing high of $113.99.</w:t>
      </w:r>
    </w:p>
    <w:bookmarkEnd w:id="13"/>
    <w:bookmarkEnd w:id="14"/>
    <w:bookmarkStart w:id="19" w:name="X2d38596973a4228dfab2549322ac285233aabbd"/>
    <w:p>
      <w:pPr>
        <w:pStyle w:val="Heading2"/>
      </w:pPr>
      <w:r>
        <w:t xml:space="preserve">Key items to watch in the release and call</w:t>
      </w:r>
    </w:p>
    <w:bookmarkStart w:id="15" w:name="operating-costs"/>
    <w:p>
      <w:pPr>
        <w:pStyle w:val="Heading3"/>
      </w:pPr>
      <w:r>
        <w:t xml:space="preserve">Operating costs</w:t>
      </w:r>
    </w:p>
    <w:p>
      <w:pPr>
        <w:pStyle w:val="FirstParagraph"/>
      </w:pPr>
      <w:r>
        <w:t xml:space="preserve">1Q adjusted EPS was pressured by higher O&amp;M. The main question is whether 2Q shows better cost discipline, particularly in CECONY operations, employee-related costs, and storm/reliability spending.</w:t>
      </w:r>
    </w:p>
    <w:p>
      <w:pPr>
        <w:pStyle w:val="BodyText"/>
      </w:pPr>
      <w:r>
        <w:rPr>
          <w:b/>
          <w:bCs/>
        </w:rPr>
        <w:t xml:space="preserve">Constructive outcome:</w:t>
      </w:r>
      <w:r>
        <w:t xml:space="preserve"> </w:t>
      </w:r>
      <w:r>
        <w:t xml:space="preserve">O&amp;M is controlled while the company sustains reliability and capex deployment.</w:t>
      </w:r>
      <w:r>
        <w:br/>
      </w:r>
      <w:r>
        <w:rPr>
          <w:b/>
          <w:bCs/>
        </w:rPr>
        <w:t xml:space="preserve">Negative outcome:</w:t>
      </w:r>
      <w:r>
        <w:t xml:space="preserve"> </w:t>
      </w:r>
      <w:r>
        <w:t xml:space="preserve">Costs remain elevated enough that rate-base growth no longer translates efficiently into earnings growth.</w:t>
      </w:r>
    </w:p>
    <w:bookmarkEnd w:id="15"/>
    <w:bookmarkStart w:id="16" w:name="customer-affordability-and-receivables"/>
    <w:p>
      <w:pPr>
        <w:pStyle w:val="Heading3"/>
      </w:pPr>
      <w:r>
        <w:t xml:space="preserve">Customer affordability and receivables</w:t>
      </w:r>
    </w:p>
    <w:p>
      <w:pPr>
        <w:pStyle w:val="FirstParagraph"/>
      </w:pPr>
      <w:r>
        <w:t xml:space="preserve">This is the most important nontraditional risk in the story. At March 31:</w:t>
      </w:r>
    </w:p>
    <w:p>
      <w:pPr>
        <w:pStyle w:val="Compact"/>
        <w:numPr>
          <w:ilvl w:val="0"/>
          <w:numId w:val="1005"/>
        </w:numPr>
      </w:pPr>
      <w:r>
        <w:t xml:space="preserve">CECONY customer receivables were</w:t>
      </w:r>
      <w:r>
        <w:t xml:space="preserve"> </w:t>
      </w:r>
      <m:oMath>
        <m:r>
          <m:t>3.12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1.35 billion</w:t>
      </w:r>
      <w:r>
        <w:t xml:space="preserve"> </w:t>
      </w:r>
      <w:r>
        <w:t xml:space="preserve">aged more than 60 days.</w:t>
      </w:r>
    </w:p>
    <w:p>
      <w:pPr>
        <w:pStyle w:val="Compact"/>
        <w:numPr>
          <w:ilvl w:val="0"/>
          <w:numId w:val="1005"/>
        </w:numPr>
      </w:pPr>
      <w:r>
        <w:t xml:space="preserve">O&amp;R receivables were</w:t>
      </w:r>
      <w:r>
        <w:t xml:space="preserve"> </w:t>
      </w:r>
      <m:oMath>
        <m:r>
          <m:t>162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28 million</w:t>
      </w:r>
      <w:r>
        <w:t xml:space="preserve"> </w:t>
      </w:r>
      <w:r>
        <w:t xml:space="preserve">aged more than 60 days.</w:t>
      </w:r>
    </w:p>
    <w:p>
      <w:pPr>
        <w:pStyle w:val="FirstParagraph"/>
      </w:pPr>
      <w:r>
        <w:t xml:space="preserve">While current rate mechanisms provide meaningful reconciliation and recovery protections for uncollectibles, high receivables can pressure liquidity, increase political scrutiny, and complicate future rate cases. Commentary on collections trends, bad-debt expense, and cash conversion is important.</w:t>
      </w:r>
    </w:p>
    <w:bookmarkEnd w:id="16"/>
    <w:bookmarkStart w:id="17" w:name="X1df4c2805f250763c191244fd572a578fec48bb"/>
    <w:p>
      <w:pPr>
        <w:pStyle w:val="Heading3"/>
      </w:pPr>
      <w:r>
        <w:t xml:space="preserve">New York City reliability and load growth</w:t>
      </w:r>
    </w:p>
    <w:p>
      <w:pPr>
        <w:pStyle w:val="FirstParagraph"/>
      </w:pPr>
      <w:r>
        <w:t xml:space="preserve">The NYISO identified New York City reliability needs beginning in summer 2026 and continuing through 2030. This is both a risk and an opportunity: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Risk:</w:t>
      </w:r>
      <w:r>
        <w:t xml:space="preserve"> </w:t>
      </w:r>
      <w:r>
        <w:t xml:space="preserve">generator retirements, rising peak demand, and delayed transmission/generation projects could increase operational complexity and political pressure.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Opportunity:</w:t>
      </w:r>
      <w:r>
        <w:t xml:space="preserve"> </w:t>
      </w:r>
      <w:r>
        <w:t xml:space="preserve">reliability needs support the case for sustained grid investment, new substations, and transmission development.</w:t>
      </w:r>
    </w:p>
    <w:p>
      <w:pPr>
        <w:pStyle w:val="FirstParagraph"/>
      </w:pPr>
      <w:r>
        <w:t xml:space="preserve">Investors should watch for updated load forecasts, progress on the New York City reliability contingency plan, and any incremental capex implications.</w:t>
      </w:r>
    </w:p>
    <w:bookmarkEnd w:id="17"/>
    <w:bookmarkStart w:id="18" w:name="regulatory-developments"/>
    <w:p>
      <w:pPr>
        <w:pStyle w:val="Heading3"/>
      </w:pPr>
      <w:r>
        <w:t xml:space="preserve">Regulatory developments</w:t>
      </w:r>
    </w:p>
    <w:p>
      <w:pPr>
        <w:pStyle w:val="FirstParagraph"/>
      </w:pPr>
      <w:r>
        <w:t xml:space="preserve">Three regulatory items are worth monitoring: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CECONY steam:</w:t>
      </w:r>
      <w:r>
        <w:t xml:space="preserve"> </w:t>
      </w:r>
      <w:r>
        <w:t xml:space="preserve">The current rate plan ends in October 2026. Management had sought a $66 million increase effective November 1, while New York DPS staff supported only an $18 million increase in March. The settlement trajectory matters.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RECO electric:</w:t>
      </w:r>
      <w:r>
        <w:t xml:space="preserve"> </w:t>
      </w:r>
      <w:r>
        <w:t xml:space="preserve">The New Jersey rate case remains pending.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Electrification programs:</w:t>
      </w:r>
      <w:r>
        <w:t xml:space="preserve"> </w:t>
      </w:r>
      <w:r>
        <w:t xml:space="preserve">New York regulators directed utilities to end the Level 2 charger component of the EV program and pause the DC fast-charger component pending data-collection requirements. ED should clarify whether this affects capital deployment or expected recovery.</w:t>
      </w:r>
    </w:p>
    <w:bookmarkEnd w:id="18"/>
    <w:bookmarkEnd w:id="19"/>
    <w:bookmarkStart w:id="20" w:name="Xbbe93bf02837920d1525985f53995c15026ebf7"/>
    <w:p>
      <w:pPr>
        <w:pStyle w:val="Heading2"/>
      </w:pPr>
      <w:r>
        <w:t xml:space="preserve">Seasonal comparison: do not overread the EPS figure</w:t>
      </w:r>
    </w:p>
    <w:p>
      <w:pPr>
        <w:pStyle w:val="FirstParagraph"/>
      </w:pPr>
      <w:r>
        <w:t xml:space="preserve">ED’s second quarter is typically much smaller than its winter-heavy first quarter. In 2Q25, adjusted EPS was</w:t>
      </w:r>
      <w:r>
        <w:t xml:space="preserve"> </w:t>
      </w:r>
      <m:oMath>
        <m:r>
          <m:t>0.67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2.26</w:t>
      </w:r>
      <w:r>
        <w:t xml:space="preserve"> </w:t>
      </w:r>
      <w:r>
        <w:t xml:space="preserve">in 1Q25; 2Q represented only about</w:t>
      </w:r>
      <w:r>
        <w:t xml:space="preserve"> </w:t>
      </w:r>
      <w:r>
        <w:rPr>
          <w:b/>
          <w:bCs/>
        </w:rPr>
        <w:t xml:space="preserve">11.8%</w:t>
      </w:r>
      <w:r>
        <w:t xml:space="preserve"> </w:t>
      </w:r>
      <w:r>
        <w:t xml:space="preserve">of that year’s eventual adjusted EPS of $5.70.</w:t>
      </w:r>
    </w:p>
    <w:p>
      <w:pPr>
        <w:pStyle w:val="BodyText"/>
      </w:pPr>
      <w:r>
        <w:t xml:space="preserve">That means investors should put more weight on:</w:t>
      </w:r>
    </w:p>
    <w:p>
      <w:pPr>
        <w:pStyle w:val="Compact"/>
        <w:numPr>
          <w:ilvl w:val="0"/>
          <w:numId w:val="1008"/>
        </w:numPr>
      </w:pPr>
      <w:r>
        <w:t xml:space="preserve">Full-year guidance;</w:t>
      </w:r>
    </w:p>
    <w:p>
      <w:pPr>
        <w:pStyle w:val="Compact"/>
        <w:numPr>
          <w:ilvl w:val="0"/>
          <w:numId w:val="1008"/>
        </w:numPr>
      </w:pPr>
      <w:r>
        <w:t xml:space="preserve">Year-to-date earnings progression;</w:t>
      </w:r>
    </w:p>
    <w:p>
      <w:pPr>
        <w:pStyle w:val="Compact"/>
        <w:numPr>
          <w:ilvl w:val="0"/>
          <w:numId w:val="1008"/>
        </w:numPr>
      </w:pPr>
      <w:r>
        <w:t xml:space="preserve">Rate-base, capex, and financing updates;</w:t>
      </w:r>
    </w:p>
    <w:p>
      <w:pPr>
        <w:pStyle w:val="Compact"/>
        <w:numPr>
          <w:ilvl w:val="0"/>
          <w:numId w:val="1008"/>
        </w:numPr>
      </w:pPr>
      <w:r>
        <w:t xml:space="preserve">O&amp;M and interest-expense trajectory;</w:t>
      </w:r>
    </w:p>
    <w:p>
      <w:pPr>
        <w:pStyle w:val="Compact"/>
        <w:numPr>
          <w:ilvl w:val="0"/>
          <w:numId w:val="1008"/>
        </w:numPr>
      </w:pPr>
      <w:r>
        <w:t xml:space="preserve">Regulatory/affordability commentary.</w:t>
      </w:r>
    </w:p>
    <w:bookmarkEnd w:id="20"/>
    <w:bookmarkStart w:id="21" w:name="what-would-be-bullish-vs-bearish"/>
    <w:p>
      <w:pPr>
        <w:pStyle w:val="Heading2"/>
      </w:pPr>
      <w:r>
        <w:t xml:space="preserve">What would be bullish vs. bearish?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More constructive read</w:t>
            </w:r>
          </w:p>
        </w:tc>
        <w:tc>
          <w:tcPr/>
          <w:p>
            <w:pPr>
              <w:pStyle w:val="Compact"/>
            </w:pPr>
            <w:r>
              <w:t xml:space="preserve">More cautious 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Reaffirms</w:t>
            </w:r>
            <w:r>
              <w:t xml:space="preserve"> </w:t>
            </w:r>
            <m:oMath>
              <m:r>
                <m:t>6.00</m:t>
              </m:r>
              <m:r>
                <m:rPr>
                  <m:sty m:val="p"/>
                </m:rPr>
                <m:t>–</m:t>
              </m:r>
            </m:oMath>
            <w:r>
              <w:t xml:space="preserve">6.20 adjusted EPS guidance cleanly</w:t>
            </w:r>
          </w:p>
        </w:tc>
        <w:tc>
          <w:tcPr/>
          <w:p>
            <w:pPr>
              <w:pStyle w:val="Compact"/>
            </w:pPr>
            <w:r>
              <w:t xml:space="preserve">Narrows guidance, signals pressure around the midpoint, or introduces caveats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Rate-base growth and new rate plans visibly offset O&amp;M and interest</w:t>
            </w:r>
          </w:p>
        </w:tc>
        <w:tc>
          <w:tcPr/>
          <w:p>
            <w:pPr>
              <w:pStyle w:val="Compact"/>
            </w:pPr>
            <w:r>
              <w:t xml:space="preserve">O&amp;M and financing costs continue to outpace regulated earnings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Capex is on plan, with no material financing change</w:t>
            </w:r>
          </w:p>
        </w:tc>
        <w:tc>
          <w:tcPr/>
          <w:p>
            <w:pPr>
              <w:pStyle w:val="Compact"/>
            </w:pPr>
            <w:r>
              <w:t xml:space="preserve">Higher equity/debt needs or signs of credit-metric deterioration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Receivables and collections stabilize or improve</w:t>
            </w:r>
          </w:p>
        </w:tc>
        <w:tc>
          <w:tcPr/>
          <w:p>
            <w:pPr>
              <w:pStyle w:val="Compact"/>
            </w:pPr>
            <w:r>
              <w:t xml:space="preserve">Aged receivables rise materially or cash conversion weakens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Reliability needs translate into clear, recoverable investment opportunities</w:t>
            </w:r>
          </w:p>
        </w:tc>
        <w:tc>
          <w:tcPr/>
          <w:p>
            <w:pPr>
              <w:pStyle w:val="Compact"/>
            </w:pPr>
            <w:r>
              <w:t xml:space="preserve">Reliability, affordability, or project-timing issues create political or execution risk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Constructive update on steam/RECO regulatory matters</w:t>
            </w:r>
          </w:p>
        </w:tc>
        <w:tc>
          <w:tcPr/>
          <w:p>
            <w:pPr>
              <w:pStyle w:val="Compact"/>
            </w:pPr>
            <w:r>
              <w:t xml:space="preserve">Unfavorable regulatory signals or delayed resolutions</w:t>
            </w:r>
          </w:p>
        </w:tc>
      </w:tr>
    </w:tbl>
    <w:bookmarkEnd w:id="21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ED remains a</w:t>
      </w:r>
      <w:r>
        <w:t xml:space="preserve"> </w:t>
      </w:r>
      <w:r>
        <w:rPr>
          <w:b/>
          <w:bCs/>
        </w:rPr>
        <w:t xml:space="preserve">regulated-infrastructure growth and income story</w:t>
      </w:r>
      <w:r>
        <w:t xml:space="preserve">, underpinned by a large New York-area rate base, electrification-led investment needs, and long-standing dividend growth. The investment debate into 2Q is whether that attractive long-term setup can translate into near-term EPS growth after 1Q showed that higher operating costs, interest expense, and dilution can temporarily overwhelm rate-base benefits.</w:t>
      </w:r>
    </w:p>
    <w:p>
      <w:pPr>
        <w:pStyle w:val="BodyText"/>
      </w:pPr>
      <w:r>
        <w:t xml:space="preserve">The cleanest positive outcome is a guidance reaffirmation paired with evidence that 1Q’s cost and dilution headwinds are contained. The biggest risk is not commodity exposure—much of that is passed through—but rather a combination of persistent cost pressure, elevated receivables, financing requirements, and regulatory affordability constraints.</w:t>
      </w:r>
    </w:p>
    <w:bookmarkStart w:id="22" w:name="research-basis"/>
    <w:p>
      <w:pPr>
        <w:pStyle w:val="Heading3"/>
      </w:pPr>
      <w:r>
        <w:t xml:space="preserve">Research basis</w:t>
      </w:r>
    </w:p>
    <w:p>
      <w:pPr>
        <w:pStyle w:val="Compact"/>
        <w:numPr>
          <w:ilvl w:val="0"/>
          <w:numId w:val="1009"/>
        </w:numPr>
      </w:pPr>
      <w:r>
        <w:t xml:space="preserve">Con Edison 1Q26 earnings release and earnings presentation, dated May 7, 2026.</w:t>
      </w:r>
    </w:p>
    <w:p>
      <w:pPr>
        <w:pStyle w:val="Compact"/>
        <w:numPr>
          <w:ilvl w:val="0"/>
          <w:numId w:val="1009"/>
        </w:numPr>
      </w:pPr>
      <w:r>
        <w:t xml:space="preserve">Con Edison 1Q26 Form 10-Q, including MD&amp;A and regulatory/liquidity disclosures.</w:t>
      </w:r>
    </w:p>
    <w:p>
      <w:pPr>
        <w:pStyle w:val="Compact"/>
        <w:numPr>
          <w:ilvl w:val="0"/>
          <w:numId w:val="1009"/>
        </w:numPr>
      </w:pPr>
      <w:r>
        <w:t xml:space="preserve">Con Edison 2Q25 earnings release, dated August 7, 2025.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2026-08-06T01:21:58Z</dcterms:created>
  <dcterms:modified xsi:type="dcterms:W3CDTF">2026-08-06T01:21:58Z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