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EMR (Emerson Electric) before writing the preview. Let me gather recent filings, transcripts, and news.I'll read the most recent earnings materials and the investor day, plus check news and price action.Let me get the investor day highlights, recent stock price action, and any late-July news.Let me check recent news/context around EMR and peers heading into the print.# Emerson Electric (EMR) — Q3 FY2026 Earnings Preview</w:t>
      </w:r>
      <w:r>
        <w:t xml:space="preserve"> </w:t>
      </w:r>
      <w:r>
        <w:rPr>
          <w:b/>
          <w:bCs/>
        </w:rPr>
        <w:t xml:space="preserve">Report date:</w:t>
      </w:r>
      <w:r>
        <w:t xml:space="preserve"> </w:t>
      </w:r>
      <w:r>
        <w:t xml:space="preserve">Tuesday, August 4, 2026 (after close) |</w:t>
      </w:r>
      <w:r>
        <w:t xml:space="preserve"> </w:t>
      </w:r>
      <w:r>
        <w:rPr>
          <w:b/>
          <w:bCs/>
        </w:rPr>
        <w:t xml:space="preserve">Quarter:</w:t>
      </w:r>
      <w:r>
        <w:t xml:space="preserve"> </w:t>
      </w:r>
      <w:r>
        <w:t xml:space="preserve">Fiscal Q3 2026 (ended June 30, 2026)</w:t>
      </w:r>
    </w:p>
    <w:p>
      <w:r>
        <w:pict>
          <v:rect style="width:0;height:1.5pt" o:hralign="center" o:hrstd="t" o:hr="t"/>
        </w:pict>
      </w:r>
    </w:p>
    <w:bookmarkStart w:id="9" w:name="the-set-up-in-one-line"/>
    <w:p>
      <w:pPr>
        <w:pStyle w:val="Heading2"/>
      </w:pPr>
      <w:r>
        <w:t xml:space="preserve">The set-up in one line</w:t>
      </w:r>
    </w:p>
    <w:p>
      <w:pPr>
        <w:pStyle w:val="FirstParagraph"/>
      </w:pPr>
      <w:r>
        <w:t xml:space="preserve">Emerson enters this print as a re-rated, transformation-complete "global automation leader" story, with shares running hard into the quarter. The key debate is whether order momentum and the growth-vertical secular story (power, LNG, life sciences, semis, A&amp;D) are strong enough to (a) confirm the second-half acceleration management has promised and (b) justify a stock that has moved sharply higher over the past two weeks.</w:t>
      </w:r>
    </w:p>
    <w:p>
      <w:r>
        <w:pict>
          <v:rect style="width:0;height:1.5pt" o:hralign="center" o:hrstd="t" o:hr="t"/>
        </w:pict>
      </w:r>
    </w:p>
    <w:bookmarkEnd w:id="9"/>
    <w:bookmarkStart w:id="10" w:name="stock-context-shares-are-hot-going-in"/>
    <w:p>
      <w:pPr>
        <w:pStyle w:val="Heading2"/>
      </w:pPr>
      <w:r>
        <w:t xml:space="preserve">Stock context: shares are hot going in</w:t>
      </w:r>
    </w:p>
    <w:p>
      <w:pPr>
        <w:pStyle w:val="FirstParagraph"/>
      </w:pPr>
      <w:r>
        <w:t xml:space="preserve">EMR closed at **</w:t>
      </w:r>
      <m:oMath>
        <m:r>
          <m:t>154.88</m:t>
        </m:r>
        <m:r>
          <m:t>o</m:t>
        </m:r>
        <m:r>
          <m:t>n</m:t>
        </m:r>
        <m:r>
          <m:t>A</m:t>
        </m:r>
        <m:r>
          <m:t>u</m:t>
        </m:r>
        <m:r>
          <m:t>g</m:t>
        </m:r>
        <m:r>
          <m:t>3</m:t>
        </m:r>
        <m:r>
          <m:rPr>
            <m:sty m:val="p"/>
          </m:rPr>
          <m:t>*</m:t>
        </m:r>
        <m:r>
          <m:rPr>
            <m:sty m:val="p"/>
          </m:rPr>
          <m:t>*</m:t>
        </m:r>
        <m:r>
          <m:rPr>
            <m:sty m:val="p"/>
          </m:rPr>
          <m:t>,</m:t>
        </m:r>
        <m:r>
          <m:t>n</m:t>
        </m:r>
        <m:r>
          <m:t>e</m:t>
        </m:r>
        <m:r>
          <m:t>a</m:t>
        </m:r>
        <m:r>
          <m:t>r</m:t>
        </m:r>
        <m:r>
          <m:t>t</m:t>
        </m:r>
        <m:r>
          <m:t>h</m:t>
        </m:r>
        <m:r>
          <m:t>e</m:t>
        </m:r>
        <m:r>
          <m:t>t</m:t>
        </m:r>
        <m:r>
          <m:t>o</m:t>
        </m:r>
        <m:r>
          <m:t>p</m:t>
        </m:r>
        <m:r>
          <m:t>o</m:t>
        </m:r>
        <m:r>
          <m:t>f</m:t>
        </m:r>
        <m:r>
          <m:t>i</m:t>
        </m:r>
        <m:r>
          <m:t>t</m:t>
        </m:r>
        <m:r>
          <m:t>s</m:t>
        </m:r>
        <m:r>
          <m:t>r</m:t>
        </m:r>
        <m:r>
          <m:t>e</m:t>
        </m:r>
        <m:r>
          <m:t>c</m:t>
        </m:r>
        <m:r>
          <m:t>e</m:t>
        </m:r>
        <m:r>
          <m:t>n</m:t>
        </m:r>
        <m:r>
          <m:t>t</m:t>
        </m:r>
        <m:r>
          <m:t>r</m:t>
        </m:r>
        <m:r>
          <m:t>a</m:t>
        </m:r>
        <m:r>
          <m:t>n</m:t>
        </m:r>
        <m:r>
          <m:t>g</m:t>
        </m:r>
        <m:r>
          <m:t>e</m:t>
        </m:r>
        <m:r>
          <m:t>a</m:t>
        </m:r>
        <m:r>
          <m:t>n</m:t>
        </m:r>
        <m:r>
          <m:t>d</m:t>
        </m:r>
        <m:r>
          <m:t>u</m:t>
        </m:r>
        <m:r>
          <m:t>p</m:t>
        </m:r>
        <m:r>
          <m:t>r</m:t>
        </m:r>
        <m:r>
          <m:t>o</m:t>
        </m:r>
        <m:r>
          <m:t>u</m:t>
        </m:r>
        <m:r>
          <m:t>g</m:t>
        </m:r>
        <m:r>
          <m:t>h</m:t>
        </m:r>
        <m:r>
          <m:t>l</m:t>
        </m:r>
        <m:r>
          <m:t>y</m:t>
        </m:r>
        <m:r>
          <m:rPr>
            <m:sty m:val="p"/>
          </m:rPr>
          <m:t>*</m:t>
        </m:r>
        <m:r>
          <m:rPr>
            <m:sty m:val="p"/>
          </m:rPr>
          <m:t>*</m:t>
        </m:r>
        <m:r>
          <m:rPr>
            <m:sty m:val="p"/>
          </m:rPr>
          <m:t>+</m:t>
        </m:r>
        <m:r>
          <m:t>13</m:t>
        </m:r>
      </m:oMath>
      <w:r>
        <w:t xml:space="preserve">136.58). That extends a recovery from the early-April low (~$132). In short, expectations are elevated and positioning looks constructive — the bar for a "clean beat-and-raise" is higher than it was a month ago.</w:t>
      </w:r>
    </w:p>
    <w:p>
      <w:pPr>
        <w:pStyle w:val="BodyText"/>
      </w:pPr>
      <w:r>
        <w:t xml:space="preserve">For context, peers have been volatile into the industrial earnings season (e.g., Eaton and Rockwell also swung meaningfully in late July), so read-throughs on short-cycle demand, power/data-center capex, and process automation will color the reaction.</w:t>
      </w:r>
    </w:p>
    <w:p>
      <w:r>
        <w:pict>
          <v:rect style="width:0;height:1.5pt" o:hralign="center" o:hrstd="t" o:hr="t"/>
        </w:pict>
      </w:r>
    </w:p>
    <w:bookmarkEnd w:id="10"/>
    <w:bookmarkStart w:id="11" w:name="X74873d35f557140847219c6714ad2417aeefb3f"/>
    <w:p>
      <w:pPr>
        <w:pStyle w:val="Heading2"/>
      </w:pPr>
      <w:r>
        <w:t xml:space="preserve">What management guided for Q3 (the numbers to grade against)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Q3 FY2026 Guide</w:t>
            </w:r>
          </w:p>
        </w:tc>
        <w:tc>
          <w:tcPr/>
          <w:p>
            <w:pPr>
              <w:pStyle w:val="Compact"/>
            </w:pPr>
            <w:r>
              <w:t xml:space="preserve">Full-Year FY2026 Guide</w:t>
            </w:r>
          </w:p>
        </w:tc>
      </w:tr>
      <w:tr>
        <w:tc>
          <w:tcPr/>
          <w:p>
            <w:pPr>
              <w:pStyle w:val="Compact"/>
            </w:pPr>
            <w:r>
              <w:t xml:space="preserve">Net sales growth</w:t>
            </w:r>
          </w:p>
        </w:tc>
        <w:tc>
          <w:tcPr/>
          <w:p>
            <w:pPr>
              <w:pStyle w:val="Compact"/>
            </w:pPr>
            <w:r>
              <w:t xml:space="preserve">~5.5%</w:t>
            </w:r>
          </w:p>
        </w:tc>
        <w:tc>
          <w:tcPr/>
          <w:p>
            <w:pPr>
              <w:pStyle w:val="Compact"/>
            </w:pPr>
            <w:r>
              <w:t xml:space="preserve">~4.5%</w:t>
            </w:r>
          </w:p>
        </w:tc>
      </w:tr>
      <w:tr>
        <w:tc>
          <w:tcPr/>
          <w:p>
            <w:pPr>
              <w:pStyle w:val="Compact"/>
            </w:pPr>
            <w:r>
              <w:t xml:space="preserve">Underlying sales growth</w:t>
            </w:r>
          </w:p>
        </w:tc>
        <w:tc>
          <w:tcPr/>
          <w:p>
            <w:pPr>
              <w:pStyle w:val="Compact"/>
            </w:pPr>
            <w:r>
              <w:t xml:space="preserve">~5%</w:t>
            </w:r>
          </w:p>
        </w:tc>
        <w:tc>
          <w:tcPr/>
          <w:p>
            <w:pPr>
              <w:pStyle w:val="Compact"/>
            </w:pPr>
            <w:r>
              <w:t xml:space="preserve">~3%</w:t>
            </w:r>
          </w:p>
        </w:tc>
      </w:tr>
      <w:tr>
        <w:tc>
          <w:tcPr/>
          <w:p>
            <w:pPr>
              <w:pStyle w:val="Compact"/>
            </w:pPr>
            <w:r>
              <w:t xml:space="preserve">Adj. segment EBITDA margin</w:t>
            </w:r>
          </w:p>
        </w:tc>
        <w:tc>
          <w:tcPr/>
          <w:p>
            <w:pPr>
              <w:pStyle w:val="Compact"/>
            </w:pPr>
            <w:r>
              <w:t xml:space="preserve">~28%</w:t>
            </w:r>
          </w:p>
        </w:tc>
        <w:tc>
          <w:tcPr/>
          <w:p>
            <w:pPr>
              <w:pStyle w:val="Compact"/>
            </w:pPr>
            <w:r>
              <w:t xml:space="preserve">~28%</w:t>
            </w:r>
          </w:p>
        </w:tc>
      </w:tr>
      <w:tr>
        <w:tc>
          <w:tcPr/>
          <w:p>
            <w:pPr>
              <w:pStyle w:val="Compact"/>
            </w:pPr>
            <w:r>
              <w:t xml:space="preserve">Adjusted EPS</w:t>
            </w:r>
          </w:p>
        </w:tc>
        <w:tc>
          <w:tcPr/>
          <w:p>
            <w:pPr>
              <w:pStyle w:val="Compact"/>
            </w:pPr>
            <m:oMath>
              <m:r>
                <m:t>1.65</m:t>
              </m:r>
              <m:r>
                <m:rPr>
                  <m:sty m:val="p"/>
                </m:rPr>
                <m:t>–</m:t>
              </m:r>
            </m:oMath>
            <w:r>
              <w:rPr>
                <w:b/>
                <w:bCs/>
              </w:rPr>
              <w:t xml:space="preserve">1.70</w:t>
            </w:r>
          </w:p>
        </w:tc>
        <w:tc>
          <w:tcPr/>
          <w:p>
            <w:pPr>
              <w:pStyle w:val="Compact"/>
            </w:pPr>
            <m:oMath>
              <m:r>
                <m:t>6.45</m:t>
              </m:r>
              <m:r>
                <m:rPr>
                  <m:sty m:val="p"/>
                </m:rPr>
                <m:t>–</m:t>
              </m:r>
            </m:oMath>
            <w:r>
              <w:rPr>
                <w:b/>
                <w:bCs/>
              </w:rPr>
              <w:t xml:space="preserve">6.55</w:t>
            </w:r>
          </w:p>
        </w:tc>
      </w:tr>
      <w:tr>
        <w:tc>
          <w:tcPr/>
          <w:p>
            <w:pPr>
              <w:pStyle w:val="Compact"/>
            </w:pPr>
            <w:r>
              <w:t xml:space="preserve">GAAP EPS</w:t>
            </w:r>
          </w:p>
        </w:tc>
        <w:tc>
          <w:tcPr/>
          <w:p>
            <w:pPr>
              <w:pStyle w:val="Compact"/>
            </w:pPr>
            <m:oMath>
              <m:r>
                <m:t>1.22</m:t>
              </m:r>
              <m:r>
                <m:rPr>
                  <m:sty m:val="p"/>
                </m:rPr>
                <m:t>–</m:t>
              </m:r>
            </m:oMath>
            <w:r>
              <w:t xml:space="preserve">1.27</w:t>
            </w:r>
          </w:p>
        </w:tc>
        <w:tc>
          <w:tcPr/>
          <w:p>
            <w:pPr>
              <w:pStyle w:val="Compact"/>
            </w:pPr>
            <m:oMath>
              <m:r>
                <m:t>4.79</m:t>
              </m:r>
              <m:r>
                <m:rPr>
                  <m:sty m:val="p"/>
                </m:rPr>
                <m:t>–</m:t>
              </m:r>
            </m:oMath>
            <w:r>
              <w:t xml:space="preserve">4.89</w:t>
            </w:r>
          </w:p>
        </w:tc>
      </w:tr>
      <w:tr>
        <w:tc>
          <w:tcPr/>
          <w:p>
            <w:pPr>
              <w:pStyle w:val="Compact"/>
            </w:pPr>
            <w:r>
              <w:t xml:space="preserve">Free cash flow</w:t>
            </w:r>
          </w:p>
        </w:tc>
        <w:tc>
          <w:tcPr/>
          <w:p>
            <w:pPr>
              <w:pStyle w:val="Compact"/>
            </w:pPr>
            <w:r>
              <w:t xml:space="preserve">—</w:t>
            </w:r>
          </w:p>
        </w:tc>
        <w:tc>
          <w:tcPr/>
          <w:p>
            <w:pPr>
              <w:pStyle w:val="Compact"/>
            </w:pPr>
            <m:oMath>
              <m:r>
                <m:t>3.5</m:t>
              </m:r>
              <m:r>
                <m:t>B</m:t>
              </m:r>
              <m:r>
                <m:rPr>
                  <m:sty m:val="p"/>
                </m:rPr>
                <m:t>–</m:t>
              </m:r>
            </m:oMath>
            <w:r>
              <w:t xml:space="preserve">3.6B</w:t>
            </w:r>
          </w:p>
        </w:tc>
      </w:tr>
      <w:tr>
        <w:tc>
          <w:tcPr/>
          <w:p>
            <w:pPr>
              <w:pStyle w:val="Compact"/>
            </w:pPr>
            <w:r>
              <w:t xml:space="preserve">Operating cash flow</w:t>
            </w:r>
          </w:p>
        </w:tc>
        <w:tc>
          <w:tcPr/>
          <w:p>
            <w:pPr>
              <w:pStyle w:val="Compact"/>
            </w:pPr>
            <w:r>
              <w:t xml:space="preserve">—</w:t>
            </w:r>
          </w:p>
        </w:tc>
        <w:tc>
          <w:tcPr/>
          <w:p>
            <w:pPr>
              <w:pStyle w:val="Compact"/>
            </w:pPr>
            <m:oMath>
              <m:r>
                <m:t>4.0</m:t>
              </m:r>
              <m:r>
                <m:t>B</m:t>
              </m:r>
              <m:r>
                <m:rPr>
                  <m:sty m:val="p"/>
                </m:rPr>
                <m:t>–</m:t>
              </m:r>
            </m:oMath>
            <w:r>
              <w:t xml:space="preserve">4.1B</w:t>
            </w:r>
          </w:p>
        </w:tc>
      </w:tr>
    </w:tbl>
    <w:p>
      <w:pPr>
        <w:pStyle w:val="BodyText"/>
      </w:pPr>
      <w:r>
        <w:t xml:space="preserve">Segment-level Q3 growth framework management laid out on the Q2 call:</w:t>
      </w:r>
    </w:p>
    <w:p>
      <w:pPr>
        <w:pStyle w:val="Compact"/>
        <w:numPr>
          <w:ilvl w:val="0"/>
          <w:numId w:val="1001"/>
        </w:numPr>
      </w:pPr>
      <w:r>
        <w:rPr>
          <w:b/>
          <w:bCs/>
        </w:rPr>
        <w:t xml:space="preserve">Software &amp; Systems: ~+8%</w:t>
      </w:r>
      <w:r>
        <w:t xml:space="preserve"> </w:t>
      </w:r>
      <w:r>
        <w:t xml:space="preserve">(Test &amp; Measurement mid-teens; Control Systems &amp; Software mid-single-digit)</w:t>
      </w:r>
    </w:p>
    <w:p>
      <w:pPr>
        <w:pStyle w:val="Compact"/>
        <w:numPr>
          <w:ilvl w:val="0"/>
          <w:numId w:val="1001"/>
        </w:numPr>
      </w:pPr>
      <w:r>
        <w:rPr>
          <w:b/>
          <w:bCs/>
        </w:rPr>
        <w:t xml:space="preserve">Intelligent Devices: ~+4%</w:t>
      </w:r>
    </w:p>
    <w:p>
      <w:pPr>
        <w:pStyle w:val="Compact"/>
        <w:numPr>
          <w:ilvl w:val="0"/>
          <w:numId w:val="1001"/>
        </w:numPr>
      </w:pPr>
      <w:r>
        <w:rPr>
          <w:b/>
          <w:bCs/>
        </w:rPr>
        <w:t xml:space="preserve">Safety &amp; Productivity: ~+1%</w:t>
      </w:r>
    </w:p>
    <w:p>
      <w:pPr>
        <w:pStyle w:val="FirstParagraph"/>
      </w:pPr>
      <w:r>
        <w:t xml:space="preserve">FY expectations by group: Software &amp; Systems ~+5%, Test &amp; Measurement raised to</w:t>
      </w:r>
      <w:r>
        <w:t xml:space="preserve"> </w:t>
      </w:r>
      <w:r>
        <w:rPr>
          <w:b/>
          <w:bCs/>
        </w:rPr>
        <w:t xml:space="preserve">low-teens</w:t>
      </w:r>
      <w:r>
        <w:t xml:space="preserve"> </w:t>
      </w:r>
      <w:r>
        <w:t xml:space="preserve">(from prior high-single-digit), Intelligent Devices lowered to ~+2% (Middle East drag), Safety &amp; Productivity ~+2%.</w:t>
      </w:r>
    </w:p>
    <w:p>
      <w:r>
        <w:pict>
          <v:rect style="width:0;height:1.5pt" o:hralign="center" o:hrstd="t" o:hr="t"/>
        </w:pict>
      </w:r>
    </w:p>
    <w:bookmarkEnd w:id="11"/>
    <w:bookmarkStart w:id="17" w:name="X222207c6afc84a1f71a037fe5ba6e2ac0ec34c3"/>
    <w:p>
      <w:pPr>
        <w:pStyle w:val="Heading2"/>
      </w:pPr>
      <w:r>
        <w:t xml:space="preserve">The five things that matter most this quarter</w:t>
      </w:r>
    </w:p>
    <w:bookmarkStart w:id="12" w:name="X474b6920e1d8369a7df8a31d5e2fa13fc2b2e78"/>
    <w:p>
      <w:pPr>
        <w:pStyle w:val="Heading3"/>
      </w:pPr>
      <w:r>
        <w:t xml:space="preserve">1) Second-half acceleration — does the backlog convert?</w:t>
      </w:r>
    </w:p>
    <w:p>
      <w:pPr>
        <w:pStyle w:val="FirstParagraph"/>
      </w:pPr>
      <w:r>
        <w:t xml:space="preserve">Management is explicitly guiding H2 to accelerate (underlying growth stepping from ~3% in Q2 to ~5% in Q3). That plan rests on a</w:t>
      </w:r>
      <w:r>
        <w:t xml:space="preserve"> </w:t>
      </w:r>
      <w:r>
        <w:rPr>
          <w:b/>
          <w:bCs/>
        </w:rPr>
        <w:t xml:space="preserve">backlog of $8.2B, up 9% y/y</w:t>
      </w:r>
      <w:r>
        <w:t xml:space="preserve">, a Q2</w:t>
      </w:r>
      <w:r>
        <w:t xml:space="preserve"> </w:t>
      </w:r>
      <w:r>
        <w:rPr>
          <w:b/>
          <w:bCs/>
        </w:rPr>
        <w:t xml:space="preserve">book-to-bill of 1.07</w:t>
      </w:r>
      <w:r>
        <w:t xml:space="preserve">, and</w:t>
      </w:r>
      <w:r>
        <w:t xml:space="preserve"> </w:t>
      </w:r>
      <w:r>
        <w:rPr>
          <w:b/>
          <w:bCs/>
        </w:rPr>
        <w:t xml:space="preserve">underlying orders +5%</w:t>
      </w:r>
      <w:r>
        <w:t xml:space="preserve"> </w:t>
      </w:r>
      <w:r>
        <w:t xml:space="preserve">in Q2. Watch whether Q3 underlying orders hold the ~mid-single-digit pace against tougher comps — management said mid-single-digit orders are "sustainable" and set up the first half of FY2027. Any order deceleration would undercut the H2/FY27 ramp thesis.</w:t>
      </w:r>
    </w:p>
    <w:bookmarkEnd w:id="12"/>
    <w:bookmarkStart w:id="13" w:name="X649bb8e7aea984bf51cfda23c82ceee8fce7bc0"/>
    <w:p>
      <w:pPr>
        <w:pStyle w:val="Heading3"/>
      </w:pPr>
      <w:r>
        <w:t xml:space="preserve">2) Middle East conflict — recovery trajectory</w:t>
      </w:r>
    </w:p>
    <w:p>
      <w:pPr>
        <w:pStyle w:val="FirstParagraph"/>
      </w:pPr>
      <w:r>
        <w:t xml:space="preserve">The Q2 miss on underlying sales (+0.5% vs. plan) was driven by an ~1-point hit from the Middle East conflict, and management baked a</w:t>
      </w:r>
      <w:r>
        <w:t xml:space="preserve"> </w:t>
      </w:r>
      <w:r>
        <w:rPr>
          <w:b/>
          <w:bCs/>
        </w:rPr>
        <w:t xml:space="preserve">full-year 1-point headwind</w:t>
      </w:r>
      <w:r>
        <w:t xml:space="preserve"> </w:t>
      </w:r>
      <w:r>
        <w:t xml:space="preserve">into guidance. Key facts to update:</w:t>
      </w:r>
    </w:p>
    <w:p>
      <w:pPr>
        <w:pStyle w:val="Compact"/>
        <w:numPr>
          <w:ilvl w:val="0"/>
          <w:numId w:val="1002"/>
        </w:numPr>
      </w:pPr>
      <w:r>
        <w:t xml:space="preserve">~</w:t>
      </w:r>
      <m:oMath>
        <m:r>
          <m:t>50</m:t>
        </m:r>
        <m:r>
          <m:t>M</m:t>
        </m:r>
        <m:r>
          <m:t>o</m:t>
        </m:r>
        <m:r>
          <m:t>f</m:t>
        </m:r>
        <m:r>
          <m:t>d</m:t>
        </m:r>
        <m:r>
          <m:t>i</m:t>
        </m:r>
        <m:r>
          <m:t>s</m:t>
        </m:r>
        <m:r>
          <m:t>r</m:t>
        </m:r>
        <m:r>
          <m:t>u</m:t>
        </m:r>
        <m:r>
          <m:t>p</m:t>
        </m:r>
        <m:r>
          <m:t>t</m:t>
        </m:r>
        <m:r>
          <m:t>i</m:t>
        </m:r>
        <m:r>
          <m:t>o</m:t>
        </m:r>
        <m:r>
          <m:t>n</m:t>
        </m:r>
        <m:r>
          <m:t>i</m:t>
        </m:r>
        <m:r>
          <m:t>n</m:t>
        </m:r>
        <m:r>
          <m:t>Q</m:t>
        </m:r>
        <m:r>
          <m:t>2</m:t>
        </m:r>
        <m:r>
          <m:rPr>
            <m:sty m:val="p"/>
          </m:rPr>
          <m:t>,</m:t>
        </m:r>
        <m:r>
          <m:t>w</m:t>
        </m:r>
        <m:r>
          <m:t>i</m:t>
        </m:r>
        <m:r>
          <m:t>t</m:t>
        </m:r>
        <m:r>
          <m:t>h</m:t>
        </m:r>
        <m:r>
          <m:t> </m:t>
        </m:r>
      </m:oMath>
      <w:r>
        <w:t xml:space="preserve">100M more assumed across the balance of the year.</w:t>
      </w:r>
    </w:p>
    <w:p>
      <w:pPr>
        <w:pStyle w:val="Compact"/>
        <w:numPr>
          <w:ilvl w:val="0"/>
          <w:numId w:val="1002"/>
        </w:numPr>
      </w:pPr>
      <w:r>
        <w:t xml:space="preserve">Customer sites running at ~75% capacity; field service engineers back to ~80% of pre-conflict levels.</w:t>
      </w:r>
    </w:p>
    <w:p>
      <w:pPr>
        <w:pStyle w:val="Compact"/>
        <w:numPr>
          <w:ilvl w:val="0"/>
          <w:numId w:val="1002"/>
        </w:numPr>
      </w:pPr>
      <w:r>
        <w:t xml:space="preserve">A ~$100M</w:t>
      </w:r>
      <w:r>
        <w:t xml:space="preserve"> </w:t>
      </w:r>
      <w:r>
        <w:rPr>
          <w:b/>
          <w:bCs/>
        </w:rPr>
        <w:t xml:space="preserve">rebuild/restart opportunity</w:t>
      </w:r>
      <w:r>
        <w:t xml:space="preserve"> </w:t>
      </w:r>
      <w:r>
        <w:t xml:space="preserve">identified across 47 damaged sites, expected to play out over ~6 quarters (with potentially much larger — but unquantified — upside if LNG/downstream capacity is rebuilt).</w:t>
      </w:r>
    </w:p>
    <w:p>
      <w:pPr>
        <w:pStyle w:val="FirstParagraph"/>
      </w:pPr>
      <w:r>
        <w:t xml:space="preserve">Watch: is the region tracking to (or better than) the assumed recovery, and does the Strait of Hormuz logistics situation keep improving? This is the single biggest swing factor for near-term revenue and the segment mix.</w:t>
      </w:r>
    </w:p>
    <w:bookmarkEnd w:id="13"/>
    <w:bookmarkStart w:id="14" w:name="Xc7cd955ca5ec3ba9c786e6a65d7e5f85d192d43"/>
    <w:p>
      <w:pPr>
        <w:pStyle w:val="Heading3"/>
      </w:pPr>
      <w:r>
        <w:t xml:space="preserve">3) Software / ACV and the AI narrative</w:t>
      </w:r>
    </w:p>
    <w:p>
      <w:pPr>
        <w:pStyle w:val="FirstParagraph"/>
      </w:pPr>
      <w:r>
        <w:t xml:space="preserve">Annual contract value grew</w:t>
      </w:r>
      <w:r>
        <w:t xml:space="preserve"> </w:t>
      </w:r>
      <w:r>
        <w:rPr>
          <w:b/>
          <w:bCs/>
        </w:rPr>
        <w:t xml:space="preserve">9% in Q2 to $1.64B</w:t>
      </w:r>
      <w:r>
        <w:t xml:space="preserve">, with management reaffirming</w:t>
      </w:r>
      <w:r>
        <w:t xml:space="preserve"> </w:t>
      </w:r>
      <w:r>
        <w:rPr>
          <w:b/>
          <w:bCs/>
        </w:rPr>
        <w:t xml:space="preserve">10%+ ACV growth for FY2026</w:t>
      </w:r>
      <w:r>
        <w:t xml:space="preserve">. Two things to track:</w:t>
      </w:r>
    </w:p>
    <w:p>
      <w:pPr>
        <w:pStyle w:val="Compact"/>
        <w:numPr>
          <w:ilvl w:val="0"/>
          <w:numId w:val="1003"/>
        </w:numPr>
      </w:pPr>
      <w:r>
        <w:rPr>
          <w:b/>
          <w:bCs/>
        </w:rPr>
        <w:t xml:space="preserve">The "software contract renewal dynamic"</w:t>
      </w:r>
      <w:r>
        <w:t xml:space="preserve"> </w:t>
      </w:r>
      <w:r>
        <w:t xml:space="preserve">— a self-created headwind that hit Q2 sales by ~2 pts, margin by ~90 bps, and EPS by ~$0.09; it reverses and becomes a slight tailwind in FY27. Watch how much it still weighs on H2 optics.</w:t>
      </w:r>
    </w:p>
    <w:p>
      <w:pPr>
        <w:pStyle w:val="Compact"/>
        <w:numPr>
          <w:ilvl w:val="0"/>
          <w:numId w:val="1003"/>
        </w:numPr>
      </w:pPr>
      <w:r>
        <w:rPr>
          <w:b/>
          <w:bCs/>
        </w:rPr>
        <w:t xml:space="preserve">AI positioning.</w:t>
      </w:r>
      <w:r>
        <w:t xml:space="preserve"> </w:t>
      </w:r>
      <w:r>
        <w:t xml:space="preserve">Management is leaning hard into the argument that its industrial software (AspenTech, DeltaV, Ovation, NI's Nigel) is defensible vs. AI disruption because it's built on first-principle models and mission-critical, regulated workflows. Any commentary on AI monetization/tiering and adoption from the recent AspenTech OPTIMIZE and NI Connect user conferences is a potential catalyst — though management flagged AI revenue is "a little early" to be meaningful, with the bigger impact in FY27+.</w:t>
      </w:r>
    </w:p>
    <w:bookmarkEnd w:id="14"/>
    <w:bookmarkStart w:id="15" w:name="Xa0e65d96e04d38f36282bb8115c4150120d0b7b"/>
    <w:p>
      <w:pPr>
        <w:pStyle w:val="Heading3"/>
      </w:pPr>
      <w:r>
        <w:t xml:space="preserve">4) Growth verticals vs. the weak spots</w:t>
      </w:r>
    </w:p>
    <w:p>
      <w:pPr>
        <w:pStyle w:val="Compact"/>
        <w:numPr>
          <w:ilvl w:val="0"/>
          <w:numId w:val="1004"/>
        </w:numPr>
      </w:pPr>
      <w:r>
        <w:rPr>
          <w:b/>
          <w:bCs/>
        </w:rPr>
        <w:t xml:space="preserve">Strength:</w:t>
      </w:r>
      <w:r>
        <w:t xml:space="preserve"> </w:t>
      </w:r>
      <w:r>
        <w:t xml:space="preserve">Growth verticals were</w:t>
      </w:r>
      <w:r>
        <w:t xml:space="preserve"> </w:t>
      </w:r>
      <w:r>
        <w:rPr>
          <w:b/>
          <w:bCs/>
        </w:rPr>
        <w:t xml:space="preserve">+22% in Q2</w:t>
      </w:r>
      <w:r>
        <w:t xml:space="preserve">;</w:t>
      </w:r>
      <w:r>
        <w:t xml:space="preserve"> </w:t>
      </w:r>
      <w:r>
        <w:rPr>
          <w:b/>
          <w:bCs/>
        </w:rPr>
        <w:t xml:space="preserve">power +23%</w:t>
      </w:r>
      <w:r>
        <w:t xml:space="preserve"> </w:t>
      </w:r>
      <w:r>
        <w:t xml:space="preserve">(Ovation orders +41%; DGM ACV +31%), plus strength in LNG, life sciences, semis, and aerospace &amp; defense. Project funnel grew to **</w:t>
      </w:r>
      <m:oMath>
        <m:r>
          <m:t>11.2</m:t>
        </m:r>
        <m:r>
          <m:t>B</m:t>
        </m:r>
        <m:r>
          <m:rPr>
            <m:sty m:val="p"/>
          </m:rPr>
          <m:t>*</m:t>
        </m:r>
        <m:r>
          <m:rPr>
            <m:sty m:val="p"/>
          </m:rPr>
          <m:t>*</m:t>
        </m:r>
        <m:r>
          <m:rPr>
            <m:sty m:val="p"/>
          </m:rPr>
          <m:t>,</m:t>
        </m:r>
        <m:r>
          <m:t>w</m:t>
        </m:r>
        <m:r>
          <m:t>i</m:t>
        </m:r>
        <m:r>
          <m:t>t</m:t>
        </m:r>
        <m:r>
          <m:t>h</m:t>
        </m:r>
        <m:r>
          <m:t> </m:t>
        </m:r>
      </m:oMath>
      <w:r>
        <w:t xml:space="preserve">450M of wins in Q2 (85% from growth verticals). Look for continued funnel growth and greenfield/behind-the-meter power conversion in H2.</w:t>
      </w:r>
    </w:p>
    <w:p>
      <w:pPr>
        <w:pStyle w:val="Compact"/>
        <w:numPr>
          <w:ilvl w:val="0"/>
          <w:numId w:val="1004"/>
        </w:numPr>
      </w:pPr>
      <w:r>
        <w:rPr>
          <w:b/>
          <w:bCs/>
        </w:rPr>
        <w:t xml:space="preserve">Test &amp; Measurement</w:t>
      </w:r>
      <w:r>
        <w:t xml:space="preserve"> </w:t>
      </w:r>
      <w:r>
        <w:t xml:space="preserve">momentum (semis + A&amp;D led; +12% in Q2) — watch whether the low-teens FY raise holds and whether the weak auto/transport piece (mostly Europe) has truly bottomed.</w:t>
      </w:r>
    </w:p>
    <w:p>
      <w:pPr>
        <w:pStyle w:val="Compact"/>
        <w:numPr>
          <w:ilvl w:val="0"/>
          <w:numId w:val="1004"/>
        </w:numPr>
      </w:pPr>
      <w:r>
        <w:rPr>
          <w:b/>
          <w:bCs/>
        </w:rPr>
        <w:t xml:space="preserve">Weakness:</w:t>
      </w:r>
      <w:r>
        <w:t xml:space="preserve"> </w:t>
      </w:r>
      <w:r>
        <w:rPr>
          <w:b/>
          <w:bCs/>
        </w:rPr>
        <w:t xml:space="preserve">China down ~9% in Q2</w:t>
      </w:r>
      <w:r>
        <w:t xml:space="preserve"> </w:t>
      </w:r>
      <w:r>
        <w:t xml:space="preserve">(chemical overcapacity), now modeled down mid-single-digits for the year;</w:t>
      </w:r>
      <w:r>
        <w:t xml:space="preserve"> </w:t>
      </w:r>
      <w:r>
        <w:rPr>
          <w:b/>
          <w:bCs/>
        </w:rPr>
        <w:t xml:space="preserve">Europe soft (-4%)</w:t>
      </w:r>
      <w:r>
        <w:t xml:space="preserve">. Any further deterioration here could offset Middle East recovery.</w:t>
      </w:r>
    </w:p>
    <w:bookmarkEnd w:id="15"/>
    <w:bookmarkStart w:id="16" w:name="X8974d6ec36994244cef6fc7e12c093767d2c88f"/>
    <w:p>
      <w:pPr>
        <w:pStyle w:val="Heading3"/>
      </w:pPr>
      <w:r>
        <w:t xml:space="preserve">5) Margins, price/cost, and tariffs</w:t>
      </w:r>
    </w:p>
    <w:p>
      <w:pPr>
        <w:pStyle w:val="FirstParagraph"/>
      </w:pPr>
      <w:r>
        <w:t xml:space="preserve">Q2 adjusted segment EBITDA margin was</w:t>
      </w:r>
      <w:r>
        <w:t xml:space="preserve"> </w:t>
      </w:r>
      <w:r>
        <w:rPr>
          <w:b/>
          <w:bCs/>
        </w:rPr>
        <w:t xml:space="preserve">27.6%</w:t>
      </w:r>
      <w:r>
        <w:t xml:space="preserve"> </w:t>
      </w:r>
      <w:r>
        <w:t xml:space="preserve">(ahead of plan on favorable mix and price/cost), and management is holding</w:t>
      </w:r>
      <w:r>
        <w:t xml:space="preserve"> </w:t>
      </w:r>
      <w:r>
        <w:rPr>
          <w:b/>
          <w:bCs/>
        </w:rPr>
        <w:t xml:space="preserve">~28% for the full year</w:t>
      </w:r>
      <w:r>
        <w:t xml:space="preserve"> </w:t>
      </w:r>
      <w:r>
        <w:t xml:space="preserve">with</w:t>
      </w:r>
      <w:r>
        <w:t xml:space="preserve"> </w:t>
      </w:r>
      <w:r>
        <w:rPr>
          <w:b/>
          <w:bCs/>
        </w:rPr>
        <w:t xml:space="preserve">40%+ incrementals ex-items</w:t>
      </w:r>
      <w:r>
        <w:t xml:space="preserve">. Tariffs are assumed</w:t>
      </w:r>
      <w:r>
        <w:t xml:space="preserve"> </w:t>
      </w:r>
      <w:r>
        <w:rPr>
          <w:b/>
          <w:bCs/>
        </w:rPr>
        <w:t xml:space="preserve">net-neutral</w:t>
      </w:r>
      <w:r>
        <w:t xml:space="preserve"> </w:t>
      </w:r>
      <w:r>
        <w:t xml:space="preserve">(IEEPA removal offset by Section 232/122 and freight). Watch for: price realization holding above net material inflation (including memory/chip cost pressure), and whether H2 project mix pressures margins as backlog converts.</w:t>
      </w:r>
    </w:p>
    <w:p>
      <w:r>
        <w:pict>
          <v:rect style="width:0;height:1.5pt" o:hralign="center" o:hrstd="t" o:hr="t"/>
        </w:pict>
      </w:r>
    </w:p>
    <w:bookmarkEnd w:id="16"/>
    <w:bookmarkEnd w:id="17"/>
    <w:bookmarkStart w:id="18" w:name="guidance-math-to-watch"/>
    <w:p>
      <w:pPr>
        <w:pStyle w:val="Heading2"/>
      </w:pPr>
      <w:r>
        <w:t xml:space="preserve">Guidance math to watch</w:t>
      </w:r>
    </w:p>
    <w:p>
      <w:pPr>
        <w:pStyle w:val="Compact"/>
        <w:numPr>
          <w:ilvl w:val="0"/>
          <w:numId w:val="1005"/>
        </w:numPr>
      </w:pPr>
      <w:r>
        <w:t xml:space="preserve">After the Q2 miss on the top line, management</w:t>
      </w:r>
      <w:r>
        <w:t xml:space="preserve"> </w:t>
      </w:r>
      <w:r>
        <w:rPr>
          <w:b/>
          <w:bCs/>
        </w:rPr>
        <w:t xml:space="preserve">took FY underlying growth to ~3%</w:t>
      </w:r>
      <w:r>
        <w:t xml:space="preserve"> </w:t>
      </w:r>
      <w:r>
        <w:t xml:space="preserve">but</w:t>
      </w:r>
      <w:r>
        <w:t xml:space="preserve"> </w:t>
      </w:r>
      <w:r>
        <w:rPr>
          <w:b/>
          <w:bCs/>
        </w:rPr>
        <w:t xml:space="preserve">raised the low end/midpoint of adjusted EPS to</w:t>
      </w:r>
      <w:r>
        <w:rPr>
          <w:b/>
          <w:bCs/>
        </w:rPr>
        <w:t xml:space="preserve"> </w:t>
      </w:r>
      <m:oMath>
        <m:r>
          <m:t>6.45</m:t>
        </m:r>
        <m:r>
          <m:rPr>
            <m:sty m:val="p"/>
          </m:rPr>
          <m:t>–</m:t>
        </m:r>
      </m:oMath>
      <w:r>
        <w:rPr>
          <w:b/>
          <w:bCs/>
        </w:rPr>
        <w:t xml:space="preserve">6.55</w:t>
      </w:r>
      <w:r>
        <w:t xml:space="preserve"> </w:t>
      </w:r>
      <w:r>
        <w:t xml:space="preserve">(helped by FX, disciplined cost/price, and narrower corporate costs). The question is whether a Middle East improvement + strong U.S. (now guided high-single-digit) lets them raise again, or whether China/Europe softness keeps the raise modest.</w:t>
      </w:r>
    </w:p>
    <w:p>
      <w:pPr>
        <w:pStyle w:val="Compact"/>
        <w:numPr>
          <w:ilvl w:val="0"/>
          <w:numId w:val="1005"/>
        </w:numPr>
      </w:pPr>
      <w:r>
        <w:rPr>
          <w:b/>
          <w:bCs/>
        </w:rPr>
        <w:t xml:space="preserve">Free cash flow</w:t>
      </w:r>
      <w:r>
        <w:t xml:space="preserve"> </w:t>
      </w:r>
      <w:r>
        <w:t xml:space="preserve">guide of</w:t>
      </w:r>
      <w:r>
        <w:t xml:space="preserve"> </w:t>
      </w:r>
      <m:oMath>
        <m:r>
          <m:t>3.5</m:t>
        </m:r>
        <m:r>
          <m:t>B</m:t>
        </m:r>
        <m:r>
          <m:rPr>
            <m:sty m:val="p"/>
          </m:rPr>
          <m:t>–</m:t>
        </m:r>
      </m:oMath>
      <w:r>
        <w:t xml:space="preserve">3.6B implies a strong H2 after a soft H1 (Q2 FCF $694M, -6% y/y, hurt by working-capital build and tax timing). FCF conversion/phasing is a credibility check on the ~10% FY cash-flow growth target.</w:t>
      </w:r>
    </w:p>
    <w:p>
      <w:pPr>
        <w:pStyle w:val="Compact"/>
        <w:numPr>
          <w:ilvl w:val="0"/>
          <w:numId w:val="1005"/>
        </w:numPr>
      </w:pPr>
      <w:r>
        <w:rPr>
          <w:b/>
          <w:bCs/>
        </w:rPr>
        <w:t xml:space="preserve">Capital return:</w:t>
      </w:r>
      <w:r>
        <w:t xml:space="preserve"> </w:t>
      </w:r>
      <w:r>
        <w:t xml:space="preserve">~</w:t>
      </w:r>
      <m:oMath>
        <m:r>
          <m:t>2.2</m:t>
        </m:r>
        <m:r>
          <m:t>B</m:t>
        </m:r>
        <m:r>
          <m:t>p</m:t>
        </m:r>
        <m:r>
          <m:t>l</m:t>
        </m:r>
        <m:r>
          <m:t>a</m:t>
        </m:r>
        <m:r>
          <m:t>n</m:t>
        </m:r>
        <m:r>
          <m:t>n</m:t>
        </m:r>
        <m:r>
          <m:t>e</m:t>
        </m:r>
        <m:r>
          <m:t>d</m:t>
        </m:r>
        <m:r>
          <m:t>f</m:t>
        </m:r>
        <m:r>
          <m:t>o</m:t>
        </m:r>
        <m:r>
          <m:t>r</m:t>
        </m:r>
        <m:r>
          <m:t>F</m:t>
        </m:r>
        <m:r>
          <m:t>Y</m:t>
        </m:r>
        <m:r>
          <m:t>26</m:t>
        </m:r>
        <m:r>
          <m:rPr>
            <m:sty m:val="p"/>
          </m:rPr>
          <m:t>(</m:t>
        </m:r>
      </m:oMath>
      <w:r>
        <w:t xml:space="preserve">1.2B dividends +</w:t>
      </w:r>
      <w:r>
        <w:t xml:space="preserve"> </w:t>
      </w:r>
      <m:oMath>
        <m:r>
          <m:t>1.0</m:t>
        </m:r>
        <m:r>
          <m:t>B</m:t>
        </m:r>
        <m:r>
          <m:t>b</m:t>
        </m:r>
        <m:r>
          <m:t>u</m:t>
        </m:r>
        <m:r>
          <m:t>y</m:t>
        </m:r>
        <m:r>
          <m:t>b</m:t>
        </m:r>
        <m:r>
          <m:t>a</m:t>
        </m:r>
        <m:r>
          <m:t>c</m:t>
        </m:r>
        <m:r>
          <m:t>k</m:t>
        </m:r>
        <m:r>
          <m:rPr>
            <m:sty m:val="p"/>
          </m:rPr>
          <m:t>)</m:t>
        </m:r>
        <m:r>
          <m:rPr>
            <m:sty m:val="p"/>
          </m:rPr>
          <m:t>;</m:t>
        </m:r>
        <m:r>
          <m:rPr>
            <m:sty m:val="p"/>
          </m:rPr>
          <m:t>*</m:t>
        </m:r>
        <m:r>
          <m:rPr>
            <m:sty m:val="p"/>
          </m:rPr>
          <m:t>*</m:t>
        </m:r>
      </m:oMath>
      <w:r>
        <w:t xml:space="preserve">542M of repurchases done in H1**, so watch the buyback pace in H2.</w:t>
      </w:r>
    </w:p>
    <w:p>
      <w:r>
        <w:pict>
          <v:rect style="width:0;height:1.5pt" o:hralign="center" o:hrstd="t" o:hr="t"/>
        </w:pict>
      </w:r>
    </w:p>
    <w:bookmarkEnd w:id="18"/>
    <w:bookmarkStart w:id="19" w:name="X2bd96aca27fd8a5f8ab0772a191b1417dca33d6"/>
    <w:p>
      <w:pPr>
        <w:pStyle w:val="Heading2"/>
      </w:pPr>
      <w:r>
        <w:t xml:space="preserve">The longer-term frame (from the Nov 2025 Investor Day)</w:t>
      </w:r>
    </w:p>
    <w:p>
      <w:pPr>
        <w:pStyle w:val="FirstParagraph"/>
      </w:pPr>
      <w:r>
        <w:t xml:space="preserve">Management set hard 2028 targets that this quarter is implicitly measured against:</w:t>
      </w:r>
      <w:r>
        <w:t xml:space="preserve"> </w:t>
      </w:r>
      <w:r>
        <w:rPr>
          <w:b/>
          <w:bCs/>
        </w:rPr>
        <w:t xml:space="preserve">$21B revenue, 30% adj. segment EBITDA margin, $8 adjusted EPS,</w:t>
      </w:r>
      <w:r>
        <w:rPr>
          <w:b/>
          <w:bCs/>
        </w:rPr>
        <w:t xml:space="preserve"> </w:t>
      </w:r>
      <m:oMath>
        <m:r>
          <m:t>12</m:t>
        </m:r>
        <m:r>
          <m:t>B</m:t>
        </m:r>
        <m:r>
          <m:t>c</m:t>
        </m:r>
        <m:r>
          <m:t>u</m:t>
        </m:r>
        <m:r>
          <m:t>m</m:t>
        </m:r>
        <m:r>
          <m:t>u</m:t>
        </m:r>
        <m:r>
          <m:t>l</m:t>
        </m:r>
        <m:r>
          <m:t>a</m:t>
        </m:r>
        <m:r>
          <m:t>t</m:t>
        </m:r>
        <m:r>
          <m:t>i</m:t>
        </m:r>
        <m:r>
          <m:t>v</m:t>
        </m:r>
        <m:r>
          <m:t>e</m:t>
        </m:r>
        <m:r>
          <m:t>F</m:t>
        </m:r>
        <m:r>
          <m:t>C</m:t>
        </m:r>
        <m:r>
          <m:t>F</m:t>
        </m:r>
        <m:r>
          <m:rPr>
            <m:sty m:val="p"/>
          </m:rPr>
          <m:t>,</m:t>
        </m:r>
        <m:r>
          <m:t>20</m:t>
        </m:r>
      </m:oMath>
      <w:r>
        <w:rPr>
          <w:b/>
          <w:bCs/>
        </w:rPr>
        <w:t xml:space="preserve">10B returned to shareholders (2026–28)</w:t>
      </w:r>
      <w:r>
        <w:t xml:space="preserve"> </w:t>
      </w:r>
      <w:r>
        <w:t xml:space="preserve">— anchored on 4–7% through-cycle organic growth and 40%+ incrementals. The buyback ramps meaningfully in FY27–28 ($2.5B/yr), so any signal on when Emerson pivots harder to shareholder returns matters.</w:t>
      </w:r>
    </w:p>
    <w:p>
      <w:r>
        <w:pict>
          <v:rect style="width:0;height:1.5pt" o:hralign="center" o:hrstd="t" o:hr="t"/>
        </w:pict>
      </w:r>
    </w:p>
    <w:bookmarkEnd w:id="19"/>
    <w:bookmarkStart w:id="20" w:name="bottom-line--what-would-move-the-stock"/>
    <w:p>
      <w:pPr>
        <w:pStyle w:val="Heading2"/>
      </w:pPr>
      <w:r>
        <w:t xml:space="preserve">Bottom line / what would move the stock</w:t>
      </w:r>
    </w:p>
    <w:p>
      <w:pPr>
        <w:pStyle w:val="Compact"/>
        <w:numPr>
          <w:ilvl w:val="0"/>
          <w:numId w:val="1006"/>
        </w:numPr>
      </w:pPr>
      <w:r>
        <w:rPr>
          <w:b/>
          <w:bCs/>
        </w:rPr>
        <w:t xml:space="preserve">Bullish reaction if:</w:t>
      </w:r>
      <w:r>
        <w:t xml:space="preserve"> </w:t>
      </w:r>
      <w:r>
        <w:t xml:space="preserve">orders stay ≥ mid-single-digit, Middle East recovers faster than the ~$100M-disruption assumption, ACV/software holds 10%+, and management raises FY EPS again while holding ~28% margins.</w:t>
      </w:r>
    </w:p>
    <w:p>
      <w:pPr>
        <w:pStyle w:val="Compact"/>
        <w:numPr>
          <w:ilvl w:val="0"/>
          <w:numId w:val="1006"/>
        </w:numPr>
      </w:pPr>
      <w:r>
        <w:rPr>
          <w:b/>
          <w:bCs/>
        </w:rPr>
        <w:t xml:space="preserve">Bearish reaction if:</w:t>
      </w:r>
      <w:r>
        <w:t xml:space="preserve"> </w:t>
      </w:r>
      <w:r>
        <w:t xml:space="preserve">China/Europe worsen, orders decelerate against tough comps, the Middle East recovery slips, or the H2 acceleration looks back-end/Q4-loaded and lower-quality (project mix pressuring margins) — especially painful given how far the stock has run into the print.</w:t>
      </w:r>
    </w:p>
    <w:p>
      <w:pPr>
        <w:pStyle w:val="FirstParagraph"/>
      </w:pPr>
      <w:r>
        <w:t xml:space="preserve">Net: the fundamentals and secular story remain strong, but with shares up ~13% in two weeks and near the high end of the range, this is a "prove the second-half ramp and the Middle East recovery" quarter. Orders, ACV, and any FY EPS raise are the three data points to anchor on.</w:t>
      </w:r>
    </w:p>
    <w:p>
      <w:pPr>
        <w:pStyle w:val="BodyText"/>
      </w:pPr>
      <w:r>
        <w:rPr>
          <w:i/>
          <w:iCs/>
        </w:rPr>
        <w:t xml:space="preserve">Note: I was unable to retrieve fresh news-flow from the days immediately preceding the print, so this preview is built from Emerson's Q2 FY2026 results/guidance (reported May 5, 2026), the November 2025 Investor Day, and recent price action. Confirm against any last-minute pre-announcements or sell-side notes.</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2026-08-04T01:26:25Z</dcterms:created>
  <dcterms:modified xsi:type="dcterms:W3CDTF">2026-08-04T01:26:25Z</dcterms:modified>
</cp:coreProperties>
</file>

<file path=docProps/custom.xml><?xml version="1.0" encoding="utf-8"?>
<Properties xmlns="http://schemas.openxmlformats.org/officeDocument/2006/custom-properties" xmlns:vt="http://schemas.openxmlformats.org/officeDocument/2006/docPropsVTypes"/>
</file>