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ad4c13383e183b388c74bf01f9a1ce6edd9687c"/>
    <w:p>
      <w:pPr>
        <w:pStyle w:val="Heading1"/>
      </w:pPr>
      <w:r>
        <w:t xml:space="preserve">Emerson Electric (EMR) — Q3 FY2026 Earnings Preview</w:t>
      </w:r>
    </w:p>
    <w:p>
      <w:pPr>
        <w:pStyle w:val="FirstParagraph"/>
      </w:pPr>
      <w:r>
        <w:rPr>
          <w:b/>
          <w:bCs/>
        </w:rPr>
        <w:t xml:space="preserve">Report date:</w:t>
      </w:r>
      <w:r>
        <w:t xml:space="preserve"> </w:t>
      </w:r>
      <w:r>
        <w:t xml:space="preserve">Tuesday, August 4, 2026, after market close |</w:t>
      </w:r>
      <w:r>
        <w:t xml:space="preserve"> </w:t>
      </w:r>
      <w:r>
        <w:rPr>
          <w:b/>
          <w:bCs/>
        </w:rPr>
        <w:t xml:space="preserve">Call:</w:t>
      </w:r>
      <w:r>
        <w:t xml:space="preserve"> </w:t>
      </w:r>
      <w:r>
        <w:t xml:space="preserve">4:30 p.m.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EMR reports fiscal Q3 2026 (quarter ended June 30, 2026) tomorrow after the close. The stock has been running hard into the print — shares closed at **</w:t>
      </w:r>
      <m:oMath>
        <m:r>
          <m:t>154.88</m:t>
        </m:r>
        <m:r>
          <m:t>o</m:t>
        </m:r>
        <m:r>
          <m:t>n</m:t>
        </m:r>
        <m:r>
          <m:t>8</m:t>
        </m:r>
        <m:r>
          <m:rPr>
            <m:sty m:val="p"/>
          </m:rPr>
          <m:t>/</m:t>
        </m:r>
        <m:r>
          <m:t>3</m:t>
        </m:r>
        <m:r>
          <m:rPr>
            <m:sty m:val="p"/>
          </m:rPr>
          <m:t>*</m:t>
        </m:r>
        <m:r>
          <m:rPr>
            <m:sty m:val="p"/>
          </m:rPr>
          <m:t>*</m:t>
        </m:r>
        <m:r>
          <m:rPr>
            <m:sty m:val="p"/>
          </m:rPr>
          <m:t>,</m:t>
        </m:r>
        <m:r>
          <m:t>u</m:t>
        </m:r>
        <m:r>
          <m:t>p</m:t>
        </m:r>
        <m:r>
          <m:t>f</m:t>
        </m:r>
        <m:r>
          <m:t>r</m:t>
        </m:r>
        <m:r>
          <m:t>o</m:t>
        </m:r>
        <m:r>
          <m:t>m</m:t>
        </m:r>
        <m:r>
          <m:t> </m:t>
        </m:r>
      </m:oMath>
      <w:r>
        <w:t xml:space="preserve">137 in mid-July, including a</w:t>
      </w:r>
      <w:r>
        <w:t xml:space="preserve"> </w:t>
      </w:r>
      <w:r>
        <w:rPr>
          <w:b/>
          <w:bCs/>
        </w:rPr>
        <w:t xml:space="preserve">~3.4% pop on August 3</w:t>
      </w:r>
      <w:r>
        <w:t xml:space="preserve"> </w:t>
      </w:r>
      <w:r>
        <w:t xml:space="preserve">alone.</w:t>
      </w:r>
    </w:p>
    <w:p>
      <w:pPr>
        <w:pStyle w:val="BodyText"/>
      </w:pPr>
      <w:r>
        <w:t xml:space="preserve">Consensus expects:</w:t>
      </w:r>
    </w:p>
    <w:p>
      <w:pPr>
        <w:pStyle w:val="Compact"/>
        <w:numPr>
          <w:ilvl w:val="0"/>
          <w:numId w:val="1001"/>
        </w:numPr>
      </w:pPr>
      <w:r>
        <w:rPr>
          <w:b/>
          <w:bCs/>
        </w:rPr>
        <w:t xml:space="preserve">Adjusted EPS: $1.68</w:t>
      </w:r>
      <w:r>
        <w:t xml:space="preserve"> </w:t>
      </w:r>
      <w:r>
        <w:t xml:space="preserve">(within/near the top of Emerson's own</w:t>
      </w:r>
      <w:r>
        <w:t xml:space="preserve"> </w:t>
      </w:r>
      <m:oMath>
        <m:r>
          <m:t>1.65</m:t>
        </m:r>
        <m:r>
          <m:rPr>
            <m:sty m:val="p"/>
          </m:rPr>
          <m:t>–</m:t>
        </m:r>
      </m:oMath>
      <w:r>
        <w:t xml:space="preserve">1.70 guide), EPS to be $1.68 on a diluted basis, up 10.5% from $1.52 in the year-ago quarter</w:t>
      </w:r>
    </w:p>
    <w:p>
      <w:pPr>
        <w:pStyle w:val="Compact"/>
        <w:numPr>
          <w:ilvl w:val="0"/>
          <w:numId w:val="1001"/>
        </w:numPr>
      </w:pPr>
      <w:r>
        <w:rPr>
          <w:b/>
          <w:bCs/>
        </w:rPr>
        <w:t xml:space="preserve">Revenue: ~$4.79–4.80B</w:t>
      </w:r>
      <w:r>
        <w:t xml:space="preserve">, with the Zacks Consensus Estimate for revenues pegged at $4.79 billion, indicating growth of 5.3% from the prior-year quarter's figure</w:t>
      </w:r>
    </w:p>
    <w:p>
      <w:pPr>
        <w:pStyle w:val="Compact"/>
        <w:numPr>
          <w:ilvl w:val="0"/>
          <w:numId w:val="1001"/>
        </w:numPr>
      </w:pPr>
      <w:r>
        <w:t xml:space="preserve">Track record: the company has met or exceeded Wall Street's EPS estimates in each of its last four quarters</w:t>
      </w:r>
    </w:p>
    <w:p>
      <w:pPr>
        <w:pStyle w:val="FirstParagraph"/>
      </w:pPr>
      <w:r>
        <w:t xml:space="preserve">Emerson's own Q3 guidance (given at the May 5 Q2 print):</w:t>
      </w:r>
      <w:r>
        <w:t xml:space="preserve"> </w:t>
      </w:r>
      <w:r>
        <w:rPr>
          <w:b/>
          <w:bCs/>
        </w:rPr>
        <w:t xml:space="preserve">sales growth ~5.5%, underlying sales growth ~5%, adjusted segment EBITDA margin ~28%, adjusted EPS</w:t>
      </w:r>
      <w:r>
        <w:rPr>
          <w:b/>
          <w:bCs/>
        </w:rPr>
        <w:t xml:space="preserve"> </w:t>
      </w:r>
      <m:oMath>
        <m:r>
          <m:t>1.65</m:t>
        </m:r>
        <m:r>
          <m:rPr>
            <m:sty m:val="p"/>
          </m:rPr>
          <m:t>–</m:t>
        </m:r>
      </m:oMath>
      <w:r>
        <w:rPr>
          <w:b/>
          <w:bCs/>
        </w:rPr>
        <w:t xml:space="preserve">1.70.</w:t>
      </w:r>
      <w:r>
        <w:t xml:space="preserve"> </w:t>
      </w:r>
      <w:r>
        <w:t xml:space="preserve">Full-year guidance stands at underlying sales growth ~3%, adjusted EBITDA margin ~28%, and adjusted EPS of</w:t>
      </w:r>
      <w:r>
        <w:t xml:space="preserve"> </w:t>
      </w:r>
      <m:oMath>
        <m:r>
          <m:t>6.45</m:t>
        </m:r>
        <m:r>
          <m:rPr>
            <m:sty m:val="p"/>
          </m:rPr>
          <m:t>–</m:t>
        </m:r>
      </m:oMath>
      <w:r>
        <w:t xml:space="preserve">6.55, with free cash flow of</w:t>
      </w:r>
      <w:r>
        <w:t xml:space="preserve"> </w:t>
      </w:r>
      <m:oMath>
        <m:r>
          <m:t>3.5</m:t>
        </m:r>
        <m:r>
          <m:rPr>
            <m:sty m:val="p"/>
          </m:rPr>
          <m:t>–</m:t>
        </m:r>
      </m:oMath>
      <w:r>
        <w:t xml:space="preserve">3.6B.</w:t>
      </w:r>
    </w:p>
    <w:p>
      <w:r>
        <w:pict>
          <v:rect style="width:0;height:1.5pt" o:hralign="center" o:hrstd="t" o:hr="t"/>
        </w:pict>
      </w:r>
    </w:p>
    <w:bookmarkEnd w:id="9"/>
    <w:bookmarkStart w:id="10" w:name="Xc37a9a5ed5a1d4ab2d8f9ba31f7ac057785359a"/>
    <w:p>
      <w:pPr>
        <w:pStyle w:val="Heading2"/>
      </w:pPr>
      <w:r>
        <w:t xml:space="preserve">What Happened Last Quarter (Q2 FY26 Recap — the Bridge to Q3)</w:t>
      </w:r>
    </w:p>
    <w:p>
      <w:pPr>
        <w:pStyle w:val="FirstParagraph"/>
      </w:pPr>
      <w:r>
        <w:t xml:space="preserve">Q2 was messy on the top line but clean on execution. Underlying sales grew just 0.5% (below plan) because of a</w:t>
      </w:r>
      <w:r>
        <w:t xml:space="preserve"> </w:t>
      </w:r>
      <w:r>
        <w:rPr>
          <w:b/>
          <w:bCs/>
        </w:rPr>
        <w:t xml:space="preserve">1-point drag from the Middle East conflict</w:t>
      </w:r>
      <w:r>
        <w:t xml:space="preserve">, while adjusted EBITDA margin of 27.6% and adjusted EPS of $1.54 both came in ahead of/at the top of guidance. Management cut full-year underlying sales growth guidance from ~4% to ~3% specifically because of the Middle East disruption, while simultaneously</w:t>
      </w:r>
      <w:r>
        <w:t xml:space="preserve"> </w:t>
      </w:r>
      <w:r>
        <w:rPr>
          <w:b/>
          <w:bCs/>
        </w:rPr>
        <w:t xml:space="preserve">raising the bottom/midpoint of full-year EPS guidance</w:t>
      </w:r>
      <w:r>
        <w:t xml:space="preserve"> </w:t>
      </w:r>
      <w:r>
        <w:t xml:space="preserve">to</w:t>
      </w:r>
      <w:r>
        <w:t xml:space="preserve"> </w:t>
      </w:r>
      <m:oMath>
        <m:r>
          <m:t>6.45</m:t>
        </m:r>
        <m:r>
          <m:rPr>
            <m:sty m:val="p"/>
          </m:rPr>
          <m:t>–</m:t>
        </m:r>
      </m:oMath>
      <w:r>
        <w:t xml:space="preserve">6.55 — a signal that margin execution is more than offsetting the top-line hit. Orders remained the bright spot: underlying orders grew 5% in Q2, backlog ended at $8.2B (+9% y/y), and book-to-bill was 1.07, all of which underpin management's confidence in a stronger second half.</w:t>
      </w:r>
    </w:p>
    <w:p>
      <w:pPr>
        <w:pStyle w:val="BodyText"/>
      </w:pPr>
      <w:r>
        <w:t xml:space="preserve">Segment underlying growth trends heading into Q3:</w:t>
      </w:r>
    </w:p>
    <w:p>
      <w:pPr>
        <w:pStyle w:val="Compact"/>
        <w:numPr>
          <w:ilvl w:val="0"/>
          <w:numId w:val="1002"/>
        </w:numPr>
      </w:pPr>
      <w:r>
        <w:rPr>
          <w:b/>
          <w:bCs/>
        </w:rPr>
        <w:t xml:space="preserve">Test &amp; Measurement</w:t>
      </w:r>
      <w:r>
        <w:t xml:space="preserve">: standout performer, up 12% in Q2 (guided to mid-teens in Q3)</w:t>
      </w:r>
    </w:p>
    <w:p>
      <w:pPr>
        <w:pStyle w:val="Compact"/>
        <w:numPr>
          <w:ilvl w:val="0"/>
          <w:numId w:val="1002"/>
        </w:numPr>
      </w:pPr>
      <w:r>
        <w:rPr>
          <w:b/>
          <w:bCs/>
        </w:rPr>
        <w:t xml:space="preserve">Software &amp; Systems / Control Systems &amp; Software</w:t>
      </w:r>
      <w:r>
        <w:t xml:space="preserve">: guided to ~8% growth in Q3, aided by lapping a software contract-renewal dynamic that dented H1 comps</w:t>
      </w:r>
    </w:p>
    <w:p>
      <w:pPr>
        <w:pStyle w:val="Compact"/>
        <w:numPr>
          <w:ilvl w:val="0"/>
          <w:numId w:val="1002"/>
        </w:numPr>
      </w:pPr>
      <w:r>
        <w:rPr>
          <w:b/>
          <w:bCs/>
        </w:rPr>
        <w:t xml:space="preserve">Intelligent Devices</w:t>
      </w:r>
      <w:r>
        <w:t xml:space="preserve">: guided to +4% in Q3, full-year cut to ~2% on Middle East drag</w:t>
      </w:r>
    </w:p>
    <w:p>
      <w:pPr>
        <w:pStyle w:val="Compact"/>
        <w:numPr>
          <w:ilvl w:val="0"/>
          <w:numId w:val="1002"/>
        </w:numPr>
      </w:pPr>
      <w:r>
        <w:rPr>
          <w:b/>
          <w:bCs/>
        </w:rPr>
        <w:t xml:space="preserve">Safety &amp; Productivity</w:t>
      </w:r>
      <w:r>
        <w:t xml:space="preserve">: modest ~1% growth in Q3, North America improving but Europe/auto still soft</w:t>
      </w:r>
    </w:p>
    <w:p>
      <w:r>
        <w:pict>
          <v:rect style="width:0;height:1.5pt" o:hralign="center" o:hrstd="t" o:hr="t"/>
        </w:pict>
      </w:r>
    </w:p>
    <w:bookmarkEnd w:id="10"/>
    <w:bookmarkStart w:id="11" w:name="Xf7c8c21bb04a5053965153cee899eaf65e1d052"/>
    <w:p>
      <w:pPr>
        <w:pStyle w:val="Heading2"/>
      </w:pPr>
      <w:r>
        <w:t xml:space="preserve">The Big Swing Factor: The Middle East / Strait of Hormuz Conflict</w:t>
      </w:r>
    </w:p>
    <w:p>
      <w:pPr>
        <w:pStyle w:val="FirstParagraph"/>
      </w:pPr>
      <w:r>
        <w:t xml:space="preserve">This is the single most important thing to watch on tomorrow's call. Emerson has a</w:t>
      </w:r>
      <w:r>
        <w:t xml:space="preserve"> </w:t>
      </w:r>
      <w:r>
        <w:rPr>
          <w:b/>
          <w:bCs/>
        </w:rPr>
        <w:t xml:space="preserve">$1.2B business in the Middle East (7% of sales)</w:t>
      </w:r>
      <w:r>
        <w:t xml:space="preserve"> </w:t>
      </w:r>
      <w:r>
        <w:t xml:space="preserve">and an</w:t>
      </w:r>
      <w:r>
        <w:t xml:space="preserve"> </w:t>
      </w:r>
      <m:oMath>
        <m:r>
          <m:t>8.5</m:t>
        </m:r>
        <m:r>
          <m:t>B</m:t>
        </m:r>
        <m:r>
          <m:t>i</m:t>
        </m:r>
        <m:r>
          <m:t>n</m:t>
        </m:r>
        <m:r>
          <m:t>s</m:t>
        </m:r>
        <m:r>
          <m:t>t</m:t>
        </m:r>
        <m:r>
          <m:t>a</m:t>
        </m:r>
        <m:r>
          <m:t>l</m:t>
        </m:r>
        <m:r>
          <m:t>l</m:t>
        </m:r>
        <m:r>
          <m:t>e</m:t>
        </m:r>
        <m:r>
          <m:t>d</m:t>
        </m:r>
        <m:r>
          <m:t>b</m:t>
        </m:r>
        <m:r>
          <m:t>a</m:t>
        </m:r>
        <m:r>
          <m:t>s</m:t>
        </m:r>
        <m:r>
          <m:t>e</m:t>
        </m:r>
        <m:r>
          <m:rPr>
            <m:sty m:val="p"/>
          </m:rPr>
          <m:t>,</m:t>
        </m:r>
        <m:r>
          <m:t>a</m:t>
        </m:r>
        <m:r>
          <m:t>n</m:t>
        </m:r>
        <m:r>
          <m:t>d</m:t>
        </m:r>
        <m:r>
          <m:t>t</m:t>
        </m:r>
        <m:r>
          <m:t>h</m:t>
        </m:r>
        <m:r>
          <m:t>e</m:t>
        </m:r>
        <m:r>
          <m:t>r</m:t>
        </m:r>
        <m:r>
          <m:t>e</m:t>
        </m:r>
        <m:r>
          <m:t>g</m:t>
        </m:r>
        <m:r>
          <m:t>i</m:t>
        </m:r>
        <m:r>
          <m:t>o</m:t>
        </m:r>
        <m:r>
          <m:t>n</m:t>
        </m:r>
        <m:r>
          <m:t>h</m:t>
        </m:r>
        <m:r>
          <m:t>a</m:t>
        </m:r>
        <m:r>
          <m:t>s</m:t>
        </m:r>
        <m:r>
          <m:t>b</m:t>
        </m:r>
        <m:r>
          <m:t>e</m:t>
        </m:r>
        <m:r>
          <m:t>e</m:t>
        </m:r>
        <m:r>
          <m:t>n</m:t>
        </m:r>
        <m:r>
          <m:t>u</m:t>
        </m:r>
        <m:r>
          <m:t>n</m:t>
        </m:r>
        <m:r>
          <m:t>d</m:t>
        </m:r>
        <m:r>
          <m:t>e</m:t>
        </m:r>
        <m:r>
          <m:t>r</m:t>
        </m:r>
        <m:r>
          <m:t>r</m:t>
        </m:r>
        <m:r>
          <m:t>e</m:t>
        </m:r>
        <m:r>
          <m:t>a</m:t>
        </m:r>
        <m:r>
          <m:t>l</m:t>
        </m:r>
        <m:r>
          <m:t>s</m:t>
        </m:r>
        <m:r>
          <m:t>t</m:t>
        </m:r>
        <m:r>
          <m:t>r</m:t>
        </m:r>
        <m:r>
          <m:t>a</m:t>
        </m:r>
        <m:r>
          <m:t>i</m:t>
        </m:r>
        <m:r>
          <m:t>n</m:t>
        </m:r>
        <m:r>
          <m:t>s</m:t>
        </m:r>
        <m:r>
          <m:t>i</m:t>
        </m:r>
        <m:r>
          <m:t>n</m:t>
        </m:r>
        <m:r>
          <m:t>c</m:t>
        </m:r>
        <m:r>
          <m:t>e</m:t>
        </m:r>
        <m:r>
          <m:t>t</m:t>
        </m:r>
        <m:r>
          <m:t>h</m:t>
        </m:r>
        <m:r>
          <m:t>e</m:t>
        </m:r>
        <m:r>
          <m:t>U</m:t>
        </m:r>
        <m:r>
          <m:t>S</m:t>
        </m:r>
        <m:r>
          <m:rPr>
            <m:sty m:val="p"/>
          </m:rPr>
          <m:t>−</m:t>
        </m:r>
        <m:r>
          <m:t>I</m:t>
        </m:r>
        <m:r>
          <m:t>s</m:t>
        </m:r>
        <m:r>
          <m:t>r</m:t>
        </m:r>
        <m:r>
          <m:t>a</m:t>
        </m:r>
        <m:r>
          <m:t>e</m:t>
        </m:r>
        <m:r>
          <m:t>l</m:t>
        </m:r>
        <m:r>
          <m:rPr>
            <m:sty m:val="p"/>
          </m:rPr>
          <m:t>−</m:t>
        </m:r>
        <m:r>
          <m:t>I</m:t>
        </m:r>
        <m:r>
          <m:t>r</m:t>
        </m:r>
        <m:r>
          <m:t>a</m:t>
        </m:r>
        <m:r>
          <m:t>n</m:t>
        </m:r>
        <m:r>
          <m:t>c</m:t>
        </m:r>
        <m:r>
          <m:t>o</m:t>
        </m:r>
        <m:r>
          <m:t>n</m:t>
        </m:r>
        <m:r>
          <m:t>f</m:t>
        </m:r>
        <m:r>
          <m:t>l</m:t>
        </m:r>
        <m:r>
          <m:t>i</m:t>
        </m:r>
        <m:r>
          <m:t>c</m:t>
        </m:r>
        <m:r>
          <m:t>t</m:t>
        </m:r>
        <m:r>
          <m:t>e</m:t>
        </m:r>
        <m:r>
          <m:t>s</m:t>
        </m:r>
        <m:r>
          <m:t>c</m:t>
        </m:r>
        <m:r>
          <m:t>a</m:t>
        </m:r>
        <m:r>
          <m:t>l</m:t>
        </m:r>
        <m:r>
          <m:t>a</m:t>
        </m:r>
        <m:r>
          <m:t>t</m:t>
        </m:r>
        <m:r>
          <m:t>e</m:t>
        </m:r>
        <m:r>
          <m:t>d</m:t>
        </m:r>
        <m:r>
          <m:t>i</m:t>
        </m:r>
        <m:r>
          <m:t>n</m:t>
        </m:r>
        <m:r>
          <m:t>l</m:t>
        </m:r>
        <m:r>
          <m:t>a</m:t>
        </m:r>
        <m:r>
          <m:t>t</m:t>
        </m:r>
        <m:r>
          <m:t>e</m:t>
        </m:r>
        <m:r>
          <m:t>F</m:t>
        </m:r>
        <m:r>
          <m:t>e</m:t>
        </m:r>
        <m:r>
          <m:t>b</m:t>
        </m:r>
        <m:r>
          <m:t>r</m:t>
        </m:r>
        <m:r>
          <m:t>u</m:t>
        </m:r>
        <m:r>
          <m:t>a</m:t>
        </m:r>
        <m:r>
          <m:t>r</m:t>
        </m:r>
        <m:r>
          <m:t>y</m:t>
        </m:r>
        <m:r>
          <m:t>2026</m:t>
        </m:r>
        <m:r>
          <m:rPr>
            <m:sty m:val="p"/>
          </m:rPr>
          <m:t>,</m:t>
        </m:r>
        <m:r>
          <m:t>w</m:t>
        </m:r>
        <m:r>
          <m:t>i</m:t>
        </m:r>
        <m:r>
          <m:t>t</m:t>
        </m:r>
        <m:r>
          <m:t>h</m:t>
        </m:r>
        <m:r>
          <m:t>t</m:t>
        </m:r>
        <m:r>
          <m:t>h</m:t>
        </m:r>
        <m:r>
          <m:t>e</m:t>
        </m:r>
        <m:r>
          <m:t>S</m:t>
        </m:r>
        <m:r>
          <m:t>t</m:t>
        </m:r>
        <m:r>
          <m:t>r</m:t>
        </m:r>
        <m:r>
          <m:t>a</m:t>
        </m:r>
        <m:r>
          <m:t>i</m:t>
        </m:r>
        <m:r>
          <m:t>t</m:t>
        </m:r>
        <m:r>
          <m:t>o</m:t>
        </m:r>
        <m:r>
          <m:t>f</m:t>
        </m:r>
        <m:r>
          <m:t>H</m:t>
        </m:r>
        <m:r>
          <m:t>o</m:t>
        </m:r>
        <m:r>
          <m:t>r</m:t>
        </m:r>
        <m:r>
          <m:t>m</m:t>
        </m:r>
        <m:r>
          <m:t>u</m:t>
        </m:r>
        <m:r>
          <m:t>z</m:t>
        </m:r>
        <m:r>
          <m:t>e</m:t>
        </m:r>
        <m:r>
          <m:t>f</m:t>
        </m:r>
        <m:r>
          <m:t>f</m:t>
        </m:r>
        <m:r>
          <m:t>e</m:t>
        </m:r>
        <m:r>
          <m:t>c</m:t>
        </m:r>
        <m:r>
          <m:t>t</m:t>
        </m:r>
        <m:r>
          <m:t>i</m:t>
        </m:r>
        <m:r>
          <m:t>v</m:t>
        </m:r>
        <m:r>
          <m:t>e</m:t>
        </m:r>
        <m:r>
          <m:t>l</m:t>
        </m:r>
        <m:r>
          <m:t>y</m:t>
        </m:r>
        <m:r>
          <m:t>s</m:t>
        </m:r>
        <m:r>
          <m:t>h</m:t>
        </m:r>
        <m:r>
          <m:t>u</m:t>
        </m:r>
        <m:r>
          <m:t>t</m:t>
        </m:r>
        <m:r>
          <m:t>f</m:t>
        </m:r>
        <m:r>
          <m:t>o</m:t>
        </m:r>
        <m:r>
          <m:t>r</m:t>
        </m:r>
        <m:r>
          <m:t>e</m:t>
        </m:r>
        <m:r>
          <m:t>x</m:t>
        </m:r>
        <m:r>
          <m:t>t</m:t>
        </m:r>
        <m:r>
          <m:t>e</m:t>
        </m:r>
        <m:r>
          <m:t>n</m:t>
        </m:r>
        <m:r>
          <m:t>d</m:t>
        </m:r>
        <m:r>
          <m:t>e</m:t>
        </m:r>
        <m:r>
          <m:t>d</m:t>
        </m:r>
        <m:r>
          <m:t>s</m:t>
        </m:r>
        <m:r>
          <m:t>t</m:t>
        </m:r>
        <m:r>
          <m:t>r</m:t>
        </m:r>
        <m:r>
          <m:t>e</m:t>
        </m:r>
        <m:r>
          <m:t>t</m:t>
        </m:r>
        <m:r>
          <m:t>c</m:t>
        </m:r>
        <m:r>
          <m:t>h</m:t>
        </m:r>
        <m:r>
          <m:t>e</m:t>
        </m:r>
        <m:r>
          <m:t>s</m:t>
        </m:r>
        <m:r>
          <m:rPr>
            <m:sty m:val="p"/>
          </m:rPr>
          <m:t>.</m:t>
        </m:r>
        <m:r>
          <m:t>O</m:t>
        </m:r>
        <m:r>
          <m:t>n</m:t>
        </m:r>
        <m:r>
          <m:t>t</m:t>
        </m:r>
        <m:r>
          <m:t>h</m:t>
        </m:r>
        <m:r>
          <m:t>e</m:t>
        </m:r>
        <m:r>
          <m:t>M</m:t>
        </m:r>
        <m:r>
          <m:t>a</m:t>
        </m:r>
        <m:r>
          <m:t>y</m:t>
        </m:r>
        <m:r>
          <m:t>c</m:t>
        </m:r>
        <m:r>
          <m:t>a</m:t>
        </m:r>
        <m:r>
          <m:t>l</m:t>
        </m:r>
        <m:r>
          <m:t>l</m:t>
        </m:r>
        <m:r>
          <m:rPr>
            <m:sty m:val="p"/>
          </m:rPr>
          <m:t>,</m:t>
        </m:r>
        <m:r>
          <m:t>m</m:t>
        </m:r>
        <m:r>
          <m:t>a</m:t>
        </m:r>
        <m:r>
          <m:t>n</m:t>
        </m:r>
        <m:r>
          <m:t>a</m:t>
        </m:r>
        <m:r>
          <m:t>g</m:t>
        </m:r>
        <m:r>
          <m:t>e</m:t>
        </m:r>
        <m:r>
          <m:t>m</m:t>
        </m:r>
        <m:r>
          <m:t>e</m:t>
        </m:r>
        <m:r>
          <m:t>n</m:t>
        </m:r>
        <m:r>
          <m:t>t</m:t>
        </m:r>
        <m:r>
          <m:t>q</m:t>
        </m:r>
        <m:r>
          <m:t>u</m:t>
        </m:r>
        <m:r>
          <m:t>a</m:t>
        </m:r>
        <m:r>
          <m:t>n</m:t>
        </m:r>
        <m:r>
          <m:t>t</m:t>
        </m:r>
        <m:r>
          <m:t>i</m:t>
        </m:r>
        <m:r>
          <m:t>f</m:t>
        </m:r>
        <m:r>
          <m:t>i</m:t>
        </m:r>
        <m:r>
          <m:t>e</m:t>
        </m:r>
        <m:r>
          <m:t>d</m:t>
        </m:r>
        <m:r>
          <m:t>t</m:t>
        </m:r>
        <m:r>
          <m:t>h</m:t>
        </m:r>
        <m:r>
          <m:t>e</m:t>
        </m:r>
        <m:r>
          <m:t>d</m:t>
        </m:r>
        <m:r>
          <m:t>a</m:t>
        </m:r>
        <m:r>
          <m:t>m</m:t>
        </m:r>
        <m:r>
          <m:t>a</m:t>
        </m:r>
        <m:r>
          <m:t>g</m:t>
        </m:r>
        <m:r>
          <m:t>e</m:t>
        </m:r>
        <m:r>
          <m:rPr>
            <m:sty m:val="p"/>
          </m:rPr>
          <m:t>:</m:t>
        </m:r>
        <m:r>
          <m:t>47</m:t>
        </m:r>
        <m:r>
          <m:t>c</m:t>
        </m:r>
        <m:r>
          <m:t>u</m:t>
        </m:r>
        <m:r>
          <m:t>s</m:t>
        </m:r>
        <m:r>
          <m:t>t</m:t>
        </m:r>
        <m:r>
          <m:t>o</m:t>
        </m:r>
        <m:r>
          <m:t>m</m:t>
        </m:r>
        <m:r>
          <m:t>e</m:t>
        </m:r>
        <m:r>
          <m:t>r</m:t>
        </m:r>
        <m:r>
          <m:t>s</m:t>
        </m:r>
        <m:r>
          <m:t>i</m:t>
        </m:r>
        <m:r>
          <m:t>t</m:t>
        </m:r>
        <m:r>
          <m:t>e</m:t>
        </m:r>
        <m:r>
          <m:t>s</m:t>
        </m:r>
        <m:r>
          <m:t>a</m:t>
        </m:r>
        <m:r>
          <m:t>f</m:t>
        </m:r>
        <m:r>
          <m:t>f</m:t>
        </m:r>
        <m:r>
          <m:t>e</m:t>
        </m:r>
        <m:r>
          <m:t>c</m:t>
        </m:r>
        <m:r>
          <m:t>t</m:t>
        </m:r>
        <m:r>
          <m:t>e</m:t>
        </m:r>
        <m:r>
          <m:t>d</m:t>
        </m:r>
        <m:r>
          <m:rPr>
            <m:sty m:val="p"/>
          </m:rPr>
          <m:t>,</m:t>
        </m:r>
        <m:r>
          <m:t>f</m:t>
        </m:r>
        <m:r>
          <m:t>i</m:t>
        </m:r>
        <m:r>
          <m:t>e</m:t>
        </m:r>
        <m:r>
          <m:t>l</m:t>
        </m:r>
        <m:r>
          <m:t>d</m:t>
        </m:r>
        <m:r>
          <m:t>s</m:t>
        </m:r>
        <m:r>
          <m:t>e</m:t>
        </m:r>
        <m:r>
          <m:t>r</m:t>
        </m:r>
        <m:r>
          <m:t>v</m:t>
        </m:r>
        <m:r>
          <m:t>i</m:t>
        </m:r>
        <m:r>
          <m:t>c</m:t>
        </m:r>
        <m:r>
          <m:t>e</m:t>
        </m:r>
        <m:r>
          <m:t>r</m:t>
        </m:r>
        <m:r>
          <m:t>u</m:t>
        </m:r>
        <m:r>
          <m:t>n</m:t>
        </m:r>
        <m:r>
          <m:t>n</m:t>
        </m:r>
        <m:r>
          <m:t>i</m:t>
        </m:r>
        <m:r>
          <m:t>n</m:t>
        </m:r>
        <m:r>
          <m:t>g</m:t>
        </m:r>
        <m:r>
          <m:t>b</m:t>
        </m:r>
        <m:r>
          <m:t>e</m:t>
        </m:r>
        <m:r>
          <m:t>l</m:t>
        </m:r>
        <m:r>
          <m:t>o</m:t>
        </m:r>
        <m:r>
          <m:t>w</m:t>
        </m:r>
        <m:r>
          <m:t>50</m:t>
        </m:r>
      </m:oMath>
      <w:r>
        <w:t xml:space="preserve">100M "rebuild and restart" opportunity** playing out over roughly six quarters. Management noted this could understate the true opportunity, since it doesn't capture the value of new capacity (e.g., LNG trains) that went offline and needs to be rebuilt.</w:t>
      </w:r>
    </w:p>
    <w:p>
      <w:pPr>
        <w:pStyle w:val="BodyText"/>
      </w:pPr>
      <w:r>
        <w:t xml:space="preserve">Importantly, the conflict has</w:t>
      </w:r>
      <w:r>
        <w:t xml:space="preserve"> </w:t>
      </w:r>
      <w:r>
        <w:rPr>
          <w:b/>
          <w:bCs/>
        </w:rPr>
        <w:t xml:space="preserve">not been a one-and-done event</w:t>
      </w:r>
      <w:r>
        <w:t xml:space="preserve"> </w:t>
      </w:r>
      <w:r>
        <w:t xml:space="preserve">— geopolitical trackers show a ceasefire/MOU reached in mid-June 2026 broke down in July with renewed attacks on commercial vessels in the Strait, before a fresh "outline of a deal" to end the war was reported around August 1, with strikes reportedly paused by early August. This means Q3 results likely still carry a real Middle East drag, but the timing of any de-escalation could set up a more constructive Q4/FY27 narrative. JPMorgan's recent upgrade explicitly flagged this: the brokerage raised its rating to Overweight, arguing that concerns over the pace of second-half growth overlook the company's sizable backlog and improving process industry cycle, and expects long-cycle projects, including power, LNG, semiconductor and aerospace investments, to support revenue growth, while Middle East rehabilitation work could provide additional upside not included in company guidance. That upgrade also emphasized Emerson's second half of 2026 being supported by the phasing of large, long-cycle projects already in the backlog, up 9% year-over-year, and that flows through the Persian Gulf have steadily improved since May, though flows have slowed over the past few weeks, with the firm expecting the Middle East conflict to eventually de-escalate. Watch for management commentary on whether the rebuild pipeline is materializing faster or slower than the $100M estimate, and any update to the 1-point full-year headwind.</w:t>
      </w:r>
    </w:p>
    <w:p>
      <w:r>
        <w:pict>
          <v:rect style="width:0;height:1.5pt" o:hralign="center" o:hrstd="t" o:hr="t"/>
        </w:pict>
      </w:r>
    </w:p>
    <w:bookmarkEnd w:id="11"/>
    <w:bookmarkStart w:id="12" w:name="X1c0f61afc67d90d4141db2e8d29a28e24c22716"/>
    <w:p>
      <w:pPr>
        <w:pStyle w:val="Heading2"/>
      </w:pPr>
      <w:r>
        <w:t xml:space="preserve">Secular Growth Verticals Remain the Core Bull Case</w:t>
      </w:r>
    </w:p>
    <w:p>
      <w:pPr>
        <w:pStyle w:val="FirstParagraph"/>
      </w:pPr>
      <w:r>
        <w:t xml:space="preserve">Regardless of Middle East noise, Emerson's five growth verticals —</w:t>
      </w:r>
      <w:r>
        <w:t xml:space="preserve"> </w:t>
      </w:r>
      <w:r>
        <w:rPr>
          <w:b/>
          <w:bCs/>
        </w:rPr>
        <w:t xml:space="preserve">power, LNG, life sciences, semiconductors, and aerospace/defense</w:t>
      </w:r>
      <w:r>
        <w:t xml:space="preserve"> </w:t>
      </w:r>
      <w:r>
        <w:t xml:space="preserve">— continue to be the structural growth engine. In Q2 these verticals were collectively up 22% y/y, with</w:t>
      </w:r>
      <w:r>
        <w:t xml:space="preserve"> </w:t>
      </w:r>
      <w:r>
        <w:rPr>
          <w:b/>
          <w:bCs/>
        </w:rPr>
        <w:t xml:space="preserve">power/Ovation up 41% in orders (23% in sales)</w:t>
      </w:r>
      <w:r>
        <w:t xml:space="preserve"> </w:t>
      </w:r>
      <w:r>
        <w:t xml:space="preserve">on data-center power, grid modernization, and behind-the-meter generation demand, and the project funnel grew to **</w:t>
      </w:r>
      <m:oMath>
        <m:r>
          <m:t>11.2</m:t>
        </m:r>
        <m:r>
          <m:t>B</m:t>
        </m:r>
        <m:r>
          <m:rPr>
            <m:sty m:val="p"/>
          </m:rPr>
          <m:t>*</m:t>
        </m:r>
        <m:r>
          <m:rPr>
            <m:sty m:val="p"/>
          </m:rPr>
          <m:t>*</m:t>
        </m:r>
        <m:r>
          <m:rPr>
            <m:sty m:val="p"/>
          </m:rPr>
          <m:t>,</m:t>
        </m:r>
        <m:r>
          <m:t>w</m:t>
        </m:r>
        <m:r>
          <m:t>i</m:t>
        </m:r>
        <m:r>
          <m:t>t</m:t>
        </m:r>
        <m:r>
          <m:t>h</m:t>
        </m:r>
        <m:r>
          <m:t>85</m:t>
        </m:r>
      </m:oMath>
      <w:r>
        <w:t xml:space="preserve">450M) coming from growth verticals. Recent notable wins cited by management include Oncor's grid modernization, NextDecade's Rio Grande LNG Train 4/5 expansion, a GLP-1 manufacturing buildout, and an aerospace/satellite testing contract. Expect Q3 commentary to reinforce continued acceleration here, particularly in power (greenfield activity expected to build further in H2) and Test &amp; Measurement (semis, aerospace/defense).</w:t>
      </w:r>
    </w:p>
    <w:p>
      <w:pPr>
        <w:pStyle w:val="BodyText"/>
      </w:pPr>
      <w:r>
        <w:rPr>
          <w:b/>
          <w:bCs/>
        </w:rPr>
        <w:t xml:space="preserve">Software (ACV)</w:t>
      </w:r>
      <w:r>
        <w:t xml:space="preserve"> </w:t>
      </w:r>
      <w:r>
        <w:t xml:space="preserve">is another key watch item: annual contract value grew 9% y/y in Q2 to $1.64B, with management reiterating</w:t>
      </w:r>
      <w:r>
        <w:t xml:space="preserve"> </w:t>
      </w:r>
      <w:r>
        <w:rPr>
          <w:b/>
          <w:bCs/>
        </w:rPr>
        <w:t xml:space="preserve">10%+ full-year ACV growth</w:t>
      </w:r>
      <w:r>
        <w:t xml:space="preserve"> </w:t>
      </w:r>
      <w:r>
        <w:t xml:space="preserve">and pushing back on AI-disruption fears for its Aspen/DeltaV/Ovation/NI software stack, framing embedded AI (Nigel AI, AspenTech Hybrid Models) as an accelerant rather than a threat. Any update on AI monetization progress (still described as early-stage/non-material to revenue as of May) will be worth listening for.</w:t>
      </w:r>
    </w:p>
    <w:bookmarkEnd w:id="12"/>
    <w:bookmarkStart w:id="13" w:name="X2cc80c2ea8001fb4e14ac13ee8152c0b3edfab2"/>
    <w:p>
      <w:pPr>
        <w:pStyle w:val="Heading2"/>
      </w:pPr>
      <w:r>
        <w:t xml:space="preserve">Geographic Divergence: Strong US, Weak China/Europe</w:t>
      </w:r>
    </w:p>
    <w:p>
      <w:pPr>
        <w:pStyle w:val="FirstParagraph"/>
      </w:pPr>
      <w:r>
        <w:t xml:space="preserve">The US has been running hot (guided to high-single-digit growth for the year, revised up from prior expectations), driven by power, LNG, aerospace/defense and life sciences investment tied to reshoring and AI infrastructure buildout. China has been the disappointment — guidance cut to</w:t>
      </w:r>
      <w:r>
        <w:t xml:space="preserve"> </w:t>
      </w:r>
      <w:r>
        <w:rPr>
          <w:b/>
          <w:bCs/>
        </w:rPr>
        <w:t xml:space="preserve">down mid-single-digits for FY26</w:t>
      </w:r>
      <w:r>
        <w:t xml:space="preserve"> </w:t>
      </w:r>
      <w:r>
        <w:t xml:space="preserve">(from low-single-digit decline previously), driven by chronic overcapacity and weak spending in the chemical sector. Europe remains "stable but soft." Watch for any incremental read on China stabilization or further deterioration, since it's been a recurring downside surprise for two straight quarters.</w:t>
      </w:r>
    </w:p>
    <w:p>
      <w:r>
        <w:pict>
          <v:rect style="width:0;height:1.5pt" o:hralign="center" o:hrstd="t" o:hr="t"/>
        </w:pict>
      </w:r>
    </w:p>
    <w:bookmarkEnd w:id="13"/>
    <w:bookmarkStart w:id="14" w:name="capital-allocation--margin-trajectory"/>
    <w:p>
      <w:pPr>
        <w:pStyle w:val="Heading2"/>
      </w:pPr>
      <w:r>
        <w:t xml:space="preserve">Capital Allocation &amp; Margin Trajectory</w:t>
      </w:r>
    </w:p>
    <w:p>
      <w:pPr>
        <w:pStyle w:val="FirstParagraph"/>
      </w:pPr>
      <w:r>
        <w:t xml:space="preserve">Emerson remains committed to returning **~</w:t>
      </w:r>
      <m:oMath>
        <m:r>
          <m:t>2.2</m:t>
        </m:r>
        <m:r>
          <m:t>B</m:t>
        </m:r>
        <m:r>
          <m:t>t</m:t>
        </m:r>
        <m:r>
          <m:t>o</m:t>
        </m:r>
        <m:r>
          <m:t>s</m:t>
        </m:r>
        <m:r>
          <m:t>h</m:t>
        </m:r>
        <m:r>
          <m:t>a</m:t>
        </m:r>
        <m:r>
          <m:t>r</m:t>
        </m:r>
        <m:r>
          <m:t>e</m:t>
        </m:r>
        <m:r>
          <m:t>h</m:t>
        </m:r>
        <m:r>
          <m:t>o</m:t>
        </m:r>
        <m:r>
          <m:t>l</m:t>
        </m:r>
        <m:r>
          <m:t>d</m:t>
        </m:r>
        <m:r>
          <m:t>e</m:t>
        </m:r>
        <m:r>
          <m:t>r</m:t>
        </m:r>
        <m:r>
          <m:t>s</m:t>
        </m:r>
        <m:r>
          <m:t>i</m:t>
        </m:r>
        <m:r>
          <m:t>n</m:t>
        </m:r>
        <m:r>
          <m:t>F</m:t>
        </m:r>
        <m:r>
          <m:t>Y</m:t>
        </m:r>
        <m:r>
          <m:t>26</m:t>
        </m:r>
        <m:r>
          <m:rPr>
            <m:sty m:val="p"/>
          </m:rPr>
          <m:t>*</m:t>
        </m:r>
        <m:r>
          <m:rPr>
            <m:sty m:val="p"/>
          </m:rPr>
          <m:t>*</m:t>
        </m:r>
        <m:r>
          <m:rPr>
            <m:sty m:val="p"/>
          </m:rPr>
          <m:t>(</m:t>
        </m:r>
        <m:r>
          <m:t> </m:t>
        </m:r>
      </m:oMath>
      <w:r>
        <w:t xml:space="preserve">1.2B dividends, ~$1B buybacks), having completed $542M of buybacks through H1. Margin performance has been the consistent positive surprise — 27.6%–27.7% adjusted segment EBITDA margins in Q1/Q2 despite mix and volume headwinds, driven by disciplined pricing, cost reduction, and productivity, largely offsetting inflation, tariffs, and freight cost pressure from the Middle East disruption. Management has guided to ~28% margin for both Q3 and the full year, with</w:t>
      </w:r>
      <w:r>
        <w:t xml:space="preserve"> </w:t>
      </w:r>
      <w:r>
        <w:rPr>
          <w:b/>
          <w:bCs/>
        </w:rPr>
        <w:t xml:space="preserve">&gt;40% operating leverage</w:t>
      </w:r>
      <w:r>
        <w:t xml:space="preserve"> </w:t>
      </w:r>
      <w:r>
        <w:t xml:space="preserve">in H2 (ex the lapped software-renewal dynamic). Any commentary on tariff dynamics (Section 122/232 tariffs offsetting the removal of IEEPA tariffs) and DRAM/memory chip cost inflation exposure is a modest but watchable risk.</w:t>
      </w:r>
    </w:p>
    <w:p>
      <w:pPr>
        <w:pStyle w:val="BodyText"/>
      </w:pPr>
      <w:r>
        <w:t xml:space="preserve">Longer-term, Emerson laid out 2028 targets at its November 2025 investor day: ~</w:t>
      </w:r>
      <m:oMath>
        <m:r>
          <m:t>21</m:t>
        </m:r>
        <m:r>
          <m:t>B</m:t>
        </m:r>
        <m:r>
          <m:t>r</m:t>
        </m:r>
        <m:r>
          <m:t>e</m:t>
        </m:r>
        <m:r>
          <m:t>v</m:t>
        </m:r>
        <m:r>
          <m:t>e</m:t>
        </m:r>
        <m:r>
          <m:t>n</m:t>
        </m:r>
        <m:r>
          <m:t>u</m:t>
        </m:r>
        <m:r>
          <m:t>e</m:t>
        </m:r>
        <m:r>
          <m:rPr>
            <m:sty m:val="p"/>
          </m:rPr>
          <m:t>,</m:t>
        </m:r>
        <m:r>
          <m:t>40</m:t>
        </m:r>
      </m:oMath>
      <w:r>
        <w:t xml:space="preserve">8 adjusted EPS, 20% free cash flow margin, and $10B (≈70% of cumulative cash) returned to shareholders via</w:t>
      </w:r>
      <w:r>
        <w:t xml:space="preserve"> </w:t>
      </w:r>
      <m:oMath>
        <m:r>
          <m:t>6</m:t>
        </m:r>
        <m:r>
          <m:t>B</m:t>
        </m:r>
        <m:r>
          <m:t>b</m:t>
        </m:r>
        <m:r>
          <m:t>u</m:t>
        </m:r>
        <m:r>
          <m:t>y</m:t>
        </m:r>
        <m:r>
          <m:t>b</m:t>
        </m:r>
        <m:r>
          <m:t>a</m:t>
        </m:r>
        <m:r>
          <m:t>c</m:t>
        </m:r>
        <m:r>
          <m:t>k</m:t>
        </m:r>
        <m:r>
          <m:t>s</m:t>
        </m:r>
        <m:r>
          <m:rPr>
            <m:sty m:val="p"/>
          </m:rPr>
          <m:t>/</m:t>
        </m:r>
      </m:oMath>
      <w:r>
        <w:t xml:space="preserve">4B dividends through 2028.</w:t>
      </w:r>
    </w:p>
    <w:p>
      <w:r>
        <w:pict>
          <v:rect style="width:0;height:1.5pt" o:hralign="center" o:hrstd="t" o:hr="t"/>
        </w:pict>
      </w:r>
    </w:p>
    <w:bookmarkEnd w:id="14"/>
    <w:bookmarkStart w:id="15" w:name="sentiment--valuation-backdrop"/>
    <w:p>
      <w:pPr>
        <w:pStyle w:val="Heading2"/>
      </w:pPr>
      <w:r>
        <w:t xml:space="preserve">Sentiment &amp; Valuation Backdrop</w:t>
      </w:r>
    </w:p>
    <w:p>
      <w:pPr>
        <w:pStyle w:val="FirstParagraph"/>
      </w:pPr>
      <w:r>
        <w:t xml:space="preserve">Sell-side sentiment is mixed-to-constructive heading into the print. Analysts are somewhat bullish on EMR, with the stock currently rated "Moderate Buy" overall, and among 26 analysts covering the stock, 14 recommend "Strong Buy," one suggests "Moderate Buy," 10 recommend "Hold," and one recommends "Moderate Sell," with an average price target of $163.58, indicating upside of 17.6% from recent levels. Recent moves: JPMorgan Chase &amp; Co. upgraded Emerson Electric from a "neutral" rating to an "overweight" rating and set a $157.00 price target on the stock in a research report on Friday, July 17th, while Sanford C. Bernstein decreased their price objective on shares of Emerson Electric from $175.00 to $169.00 and set an "outperform" rating, and Royal Bank Of Canada lowered their target price on shares of Emerson Electric from $176.00 to $161.00 and set an "outperform" rating on the stock. On valuation, the stock trades at a premium — a Forward P/E ratio of 23.01, representing a discount compared to its industry average Forward P/E of 23.59, though some bearish voices (e.g., a Seeking Alpha contributor cited by Simply Wall St) argue the stock is now a pure-play automation company post-divestiture, but trades at a premium not yet justified by software margin expansion, flagging ROIC below WACC as a capital-allocation concern.</w:t>
      </w:r>
    </w:p>
    <w:p>
      <w:r>
        <w:pict>
          <v:rect style="width:0;height:1.5pt" o:hralign="center" o:hrstd="t" o:hr="t"/>
        </w:pict>
      </w:r>
    </w:p>
    <w:bookmarkEnd w:id="15"/>
    <w:bookmarkStart w:id="16" w:name="what-to-watch-on-the-call"/>
    <w:p>
      <w:pPr>
        <w:pStyle w:val="Heading2"/>
      </w:pPr>
      <w:r>
        <w:t xml:space="preserve">What to Watch on the Call</w:t>
      </w:r>
    </w:p>
    <w:p>
      <w:pPr>
        <w:pStyle w:val="Compact"/>
        <w:numPr>
          <w:ilvl w:val="0"/>
          <w:numId w:val="1003"/>
        </w:numPr>
      </w:pPr>
      <w:r>
        <w:rPr>
          <w:b/>
          <w:bCs/>
        </w:rPr>
        <w:t xml:space="preserve">Q3 print vs.</w:t>
      </w:r>
      <w:r>
        <w:rPr>
          <w:b/>
          <w:bCs/>
        </w:rPr>
        <w:t xml:space="preserve"> </w:t>
      </w:r>
      <m:oMath>
        <m:r>
          <m:t>1.68</m:t>
        </m:r>
        <m:r>
          <m:t>E</m:t>
        </m:r>
        <m:r>
          <m:t>P</m:t>
        </m:r>
        <m:r>
          <m:t>S</m:t>
        </m:r>
        <m:r>
          <m:rPr>
            <m:sty m:val="p"/>
          </m:rPr>
          <m:t>/</m:t>
        </m:r>
        <m:r>
          <m:t> </m:t>
        </m:r>
      </m:oMath>
      <w:r>
        <w:rPr>
          <w:b/>
          <w:bCs/>
        </w:rPr>
        <w:t xml:space="preserve">4.79B revenue consensus</w:t>
      </w:r>
      <w:r>
        <w:t xml:space="preserve"> </w:t>
      </w:r>
      <w:r>
        <w:t xml:space="preserve">— a beat-and-raise would validate the recent stock run; any miss or guide-down given elevated expectations could trigger outsized downside given the stock is near 52-week highs (~$165 high).</w:t>
      </w:r>
    </w:p>
    <w:p>
      <w:pPr>
        <w:pStyle w:val="Compact"/>
        <w:numPr>
          <w:ilvl w:val="0"/>
          <w:numId w:val="1003"/>
        </w:numPr>
      </w:pPr>
      <w:r>
        <w:rPr>
          <w:b/>
          <w:bCs/>
        </w:rPr>
        <w:t xml:space="preserve">Middle East update</w:t>
      </w:r>
      <w:r>
        <w:t xml:space="preserve"> </w:t>
      </w:r>
      <w:r>
        <w:t xml:space="preserve">— has the conflict's sales drag widened or narrowed relative to the ~1 point/$100M rebuild framework, and is there any read-through from the reported early-August "outline of a deal" to end the war?</w:t>
      </w:r>
    </w:p>
    <w:p>
      <w:pPr>
        <w:pStyle w:val="Compact"/>
        <w:numPr>
          <w:ilvl w:val="0"/>
          <w:numId w:val="1003"/>
        </w:numPr>
      </w:pPr>
      <w:r>
        <w:rPr>
          <w:b/>
          <w:bCs/>
        </w:rPr>
        <w:t xml:space="preserve">Orders/backlog momentum</w:t>
      </w:r>
      <w:r>
        <w:t xml:space="preserve"> </w:t>
      </w:r>
      <w:r>
        <w:t xml:space="preserve">— another quarter of mid-single-digit-plus underlying order growth would reinforce H2/FY27 visibility; backlog was $8.2B (+9% y/y) exiting Q2.</w:t>
      </w:r>
    </w:p>
    <w:p>
      <w:pPr>
        <w:pStyle w:val="Compact"/>
        <w:numPr>
          <w:ilvl w:val="0"/>
          <w:numId w:val="1003"/>
        </w:numPr>
      </w:pPr>
      <w:r>
        <w:rPr>
          <w:b/>
          <w:bCs/>
        </w:rPr>
        <w:t xml:space="preserve">China trajectory</w:t>
      </w:r>
      <w:r>
        <w:t xml:space="preserve"> </w:t>
      </w:r>
      <w:r>
        <w:t xml:space="preserve">— stabilizing or still deteriorating from the "down mid-single-digits" FY26 call.</w:t>
      </w:r>
    </w:p>
    <w:p>
      <w:pPr>
        <w:pStyle w:val="Compact"/>
        <w:numPr>
          <w:ilvl w:val="0"/>
          <w:numId w:val="1003"/>
        </w:numPr>
      </w:pPr>
      <w:r>
        <w:rPr>
          <w:b/>
          <w:bCs/>
        </w:rPr>
        <w:t xml:space="preserve">FY2027 early framing</w:t>
      </w:r>
      <w:r>
        <w:t xml:space="preserve"> </w:t>
      </w:r>
      <w:r>
        <w:t xml:space="preserve">— commentary on order momentum "setting up the first half of 2027" and whether power/LNG/data-center-driven demand is broadening beyond the five core growth verticals.</w:t>
      </w:r>
    </w:p>
    <w:p>
      <w:pPr>
        <w:pStyle w:val="Compact"/>
        <w:numPr>
          <w:ilvl w:val="0"/>
          <w:numId w:val="1003"/>
        </w:numPr>
      </w:pPr>
      <w:r>
        <w:rPr>
          <w:b/>
          <w:bCs/>
        </w:rPr>
        <w:t xml:space="preserve">Margin/tariff puts and takes</w:t>
      </w:r>
      <w:r>
        <w:t xml:space="preserve"> </w:t>
      </w:r>
      <w:r>
        <w:t xml:space="preserve">— confirmation of the ~28% EBITDA margin trajectory and net-neutral tariff assumption holding up.</w:t>
      </w:r>
    </w:p>
    <w:p>
      <w:pPr>
        <w:pStyle w:val="Compact"/>
        <w:numPr>
          <w:ilvl w:val="0"/>
          <w:numId w:val="1003"/>
        </w:numPr>
      </w:pPr>
      <w:r>
        <w:rPr>
          <w:b/>
          <w:bCs/>
        </w:rPr>
        <w:t xml:space="preserve">Capital returns pacing</w:t>
      </w:r>
      <w:r>
        <w:t xml:space="preserve"> </w:t>
      </w:r>
      <w:r>
        <w:t xml:space="preserve">— buyback cadence relative to the ~$1B full-year target (only $542M done through H1).</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2026-08-04T01:27:35Z</dcterms:created>
  <dcterms:modified xsi:type="dcterms:W3CDTF">2026-08-04T01:27:35Z</dcterms:modified>
</cp:coreProperties>
</file>

<file path=docProps/custom.xml><?xml version="1.0" encoding="utf-8"?>
<Properties xmlns="http://schemas.openxmlformats.org/officeDocument/2006/custom-properties" xmlns:vt="http://schemas.openxmlformats.org/officeDocument/2006/docPropsVTypes"/>
</file>