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emr-fiscal-q3-2026-earnings-preview"/>
    <w:p>
      <w:pPr>
        <w:pStyle w:val="Heading1"/>
      </w:pPr>
      <w:r>
        <w:t xml:space="preserve">EMR Fiscal Q3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Emerson reports</w:t>
      </w:r>
      <w:r>
        <w:t xml:space="preserve"> </w:t>
      </w:r>
      <w:r>
        <w:rPr>
          <w:b/>
          <w:bCs/>
        </w:rPr>
        <w:t xml:space="preserve">after the market closes today, Tuesday, August 4, 2026</w:t>
      </w:r>
      <w:r>
        <w:t xml:space="preserve">, not tomorrow. The earnings call begins at</w:t>
      </w:r>
      <w:r>
        <w:t xml:space="preserve"> </w:t>
      </w:r>
      <w:r>
        <w:rPr>
          <w:b/>
          <w:bCs/>
        </w:rPr>
        <w:t xml:space="preserve">4:30 p.m. ET</w:t>
      </w:r>
      <w:r>
        <w:t xml:space="preserve">. (</w:t>
      </w:r>
      <w:hyperlink r:id="rId9">
        <w:r>
          <w:rPr>
            <w:rStyle w:val="Hyperlink"/>
          </w:rPr>
          <w:t xml:space="preserve">ir.emerson.com</w:t>
        </w:r>
      </w:hyperlink>
      <w:r>
        <w:t xml:space="preserve">)</w:t>
      </w:r>
    </w:p>
    <w:bookmarkStart w:id="11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Emerson enters fiscal Q3 with a favorable demand backdrop and unusually good revenue visibility, but also with a fairly high bar. The company guided the quarter to approximately</w:t>
      </w:r>
      <w:r>
        <w:t xml:space="preserve"> </w:t>
      </w:r>
      <w:r>
        <w:rPr>
          <w:b/>
          <w:bCs/>
        </w:rPr>
        <w:t xml:space="preserve">5% underlying sales growth, 28% adjusted segment EBITA margin, and</w:t>
      </w:r>
      <w:r>
        <w:rPr>
          <w:b/>
          <w:bCs/>
        </w:rPr>
        <w:t xml:space="preserve"> </w:t>
      </w:r>
      <m:oMath>
        <m:r>
          <m:t>1.65</m:t>
        </m:r>
        <m:r>
          <m:rPr>
            <m:sty m:val="p"/>
          </m:rPr>
          <m:t>–</m:t>
        </m:r>
      </m:oMath>
      <w:r>
        <w:rPr>
          <w:b/>
          <w:bCs/>
        </w:rPr>
        <w:t xml:space="preserve">1.70 of adjusted EPS</w:t>
      </w:r>
      <w:r>
        <w:t xml:space="preserve">. Current consensus is roughly</w:t>
      </w:r>
      <w:r>
        <w:t xml:space="preserve"> </w:t>
      </w:r>
      <m:oMath>
        <m:r>
          <m:t>1.67</m:t>
        </m:r>
        <m:r>
          <m:rPr>
            <m:sty m:val="p"/>
          </m:rPr>
          <m:t>–</m:t>
        </m:r>
      </m:oMath>
      <w:r>
        <w:rPr>
          <w:b/>
          <w:bCs/>
        </w:rPr>
        <w:t xml:space="preserve">1.68 of adjusted EPS and</w:t>
      </w:r>
      <w:r>
        <w:rPr>
          <w:b/>
          <w:bCs/>
        </w:rPr>
        <w:t xml:space="preserve"> </w:t>
      </w:r>
      <m:oMath>
        <m:r>
          <m:t>4.79</m:t>
        </m:r>
        <m:r>
          <m:rPr>
            <m:sty m:val="p"/>
          </m:rPr>
          <m:t>–</m:t>
        </m:r>
      </m:oMath>
      <w:r>
        <w:rPr>
          <w:b/>
          <w:bCs/>
        </w:rPr>
        <w:t xml:space="preserve">4.80 billion of revenue</w:t>
      </w:r>
      <w:r>
        <w:t xml:space="preserve">, almost exactly matching management’s framework. (</w:t>
      </w:r>
      <w:hyperlink r:id="rId10">
        <w:r>
          <w:rPr>
            <w:rStyle w:val="Hyperlink"/>
          </w:rPr>
          <w:t xml:space="preserve">ir.emerson.com</w:t>
        </w:r>
      </w:hyperlink>
      <w:r>
        <w:t xml:space="preserve">)</w:t>
      </w:r>
    </w:p>
    <w:p>
      <w:pPr>
        <w:pStyle w:val="BodyText"/>
      </w:pPr>
      <w:r>
        <w:t xml:space="preserve">The quarter’s headline beat or miss may therefore be less important than:</w:t>
      </w:r>
    </w:p>
    <w:p>
      <w:pPr>
        <w:pStyle w:val="Compact"/>
        <w:numPr>
          <w:ilvl w:val="0"/>
          <w:numId w:val="1001"/>
        </w:numPr>
      </w:pPr>
      <w:r>
        <w:t xml:space="preserve">Whether underlying orders remain around mid-single digits.</w:t>
      </w:r>
    </w:p>
    <w:p>
      <w:pPr>
        <w:pStyle w:val="Compact"/>
        <w:numPr>
          <w:ilvl w:val="0"/>
          <w:numId w:val="1001"/>
        </w:numPr>
      </w:pPr>
      <w:r>
        <w:t xml:space="preserve">Whether power, Test &amp; Measurement, and industrial software sustain their recent momentum.</w:t>
      </w:r>
    </w:p>
    <w:p>
      <w:pPr>
        <w:pStyle w:val="Compact"/>
        <w:numPr>
          <w:ilvl w:val="0"/>
          <w:numId w:val="1001"/>
        </w:numPr>
      </w:pPr>
      <w:r>
        <w:t xml:space="preserve">Whether Middle East operations are recovering as assumed.</w:t>
      </w:r>
    </w:p>
    <w:p>
      <w:pPr>
        <w:pStyle w:val="Compact"/>
        <w:numPr>
          <w:ilvl w:val="0"/>
          <w:numId w:val="1001"/>
        </w:numPr>
      </w:pPr>
      <w:r>
        <w:t xml:space="preserve">Whether management maintains or raises full-year guidance.</w:t>
      </w:r>
    </w:p>
    <w:p>
      <w:pPr>
        <w:pStyle w:val="Compact"/>
        <w:numPr>
          <w:ilvl w:val="0"/>
          <w:numId w:val="1001"/>
        </w:numPr>
      </w:pPr>
      <w:r>
        <w:t xml:space="preserve">Whether stronger growth is translating into cash flow and operating leverage.</w:t>
      </w:r>
    </w:p>
    <w:p>
      <w:pPr>
        <w:pStyle w:val="FirstParagraph"/>
      </w:pPr>
      <w:r>
        <w:t xml:space="preserve">The shares closed at</w:t>
      </w:r>
      <w:r>
        <w:t xml:space="preserve"> </w:t>
      </w:r>
      <w:r>
        <w:rPr>
          <w:b/>
          <w:bCs/>
        </w:rPr>
        <w:t xml:space="preserve">$154.88 on August 3</w:t>
      </w:r>
      <w:r>
        <w:t xml:space="preserve">, up about</w:t>
      </w:r>
      <w:r>
        <w:t xml:space="preserve"> </w:t>
      </w:r>
      <w:r>
        <w:rPr>
          <w:b/>
          <w:bCs/>
        </w:rPr>
        <w:t xml:space="preserve">17% year to date</w:t>
      </w:r>
      <w:r>
        <w:t xml:space="preserve"> </w:t>
      </w:r>
      <w:r>
        <w:t xml:space="preserve">and roughly</w:t>
      </w:r>
      <w:r>
        <w:t xml:space="preserve"> </w:t>
      </w:r>
      <w:r>
        <w:rPr>
          <w:b/>
          <w:bCs/>
        </w:rPr>
        <w:t xml:space="preserve">12% since the Q2 report</w:t>
      </w:r>
      <w:r>
        <w:t xml:space="preserve">. At approximately</w:t>
      </w:r>
      <w:r>
        <w:t xml:space="preserve"> </w:t>
      </w:r>
      <w:r>
        <w:rPr>
          <w:b/>
          <w:bCs/>
        </w:rPr>
        <w:t xml:space="preserve">24 times fiscal 2026 consensus EPS</w:t>
      </w:r>
      <w:r>
        <w:t xml:space="preserve">, the valuation appears to anticipate solid execution. A routine in-line quarter may not be enough for meaningful upside; investors will probably want a constructive fiscal Q4 setup and confidence in fiscal 2027.</w:t>
      </w:r>
    </w:p>
    <w:p>
      <w:r>
        <w:pict>
          <v:rect style="width:0;height:1.5pt" o:hralign="center" o:hrstd="t" o:hr="t"/>
        </w:pict>
      </w:r>
    </w:p>
    <w:bookmarkEnd w:id="11"/>
    <w:bookmarkStart w:id="13" w:name="the-numbers-to-know"/>
    <w:p>
      <w:pPr>
        <w:pStyle w:val="Heading2"/>
      </w:pPr>
      <w:r>
        <w:t xml:space="preserve">The numbers to know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Fiscal Q3 expectation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m:oMath>
              <m:r>
                <m:t>4.79</m:t>
              </m:r>
              <m:r>
                <m:rPr>
                  <m:sty m:val="p"/>
                </m:rPr>
                <m:t>–</m:t>
              </m:r>
            </m:oMath>
            <w:r>
              <w:t xml:space="preserve">4.80B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~5.3%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 underlying sales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m:oMath>
              <m:r>
                <m:t>1.67</m:t>
              </m:r>
              <m:r>
                <m:rPr>
                  <m:sty m:val="p"/>
                </m:rPr>
                <m:t>–</m:t>
              </m:r>
            </m:oMath>
            <w:r>
              <w:t xml:space="preserve">1.68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 adjusted EPS guide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1.65</m:t>
              </m:r>
              <m:r>
                <m:rPr>
                  <m:sty m:val="p"/>
                </m:rPr>
                <m:t>–</m:t>
              </m:r>
            </m:oMath>
            <w:r>
              <w:t xml:space="preserve">1.70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Prior-year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$1.52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segment EBITA margin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~28%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adjusted EPS guide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6.45</m:t>
              </m:r>
              <m:r>
                <m:rPr>
                  <m:sty m:val="p"/>
                </m:rPr>
                <m:t>–</m:t>
              </m:r>
            </m:oMath>
            <w:r>
              <w:t xml:space="preserve">6.55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underlying sales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free cash flow guide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3.5</m:t>
              </m:r>
              <m:r>
                <m:rPr>
                  <m:sty m:val="p"/>
                </m:rPr>
                <m:t>–</m:t>
              </m:r>
            </m:oMath>
            <w:r>
              <w:t xml:space="preserve">3.6B</w:t>
            </w:r>
          </w:p>
        </w:tc>
      </w:tr>
    </w:tbl>
    <w:p>
      <w:pPr>
        <w:pStyle w:val="BodyText"/>
      </w:pPr>
      <w:r>
        <w:t xml:space="preserve">Consensus revenue implies about</w:t>
      </w:r>
      <w:r>
        <w:t xml:space="preserve"> </w:t>
      </w:r>
      <w:r>
        <w:rPr>
          <w:b/>
          <w:bCs/>
        </w:rPr>
        <w:t xml:space="preserve">5.3% year-over-year growth</w:t>
      </w:r>
      <w:r>
        <w:t xml:space="preserve">, broadly consistent with management’s 5.5% reported-growth and 5% underlying-growth forecasts. Consensus EPS also sits near the midpoint of guidance, leaving limited scope for an “easy” expectations beat. (</w:t>
      </w:r>
      <w:hyperlink r:id="rId12">
        <w:r>
          <w:rPr>
            <w:rStyle w:val="Hyperlink"/>
          </w:rPr>
          <w:t xml:space="preserve">stage.zacks.com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3"/>
    <w:bookmarkStart w:id="17" w:name="what-should-drive-the-quarter"/>
    <w:p>
      <w:pPr>
        <w:pStyle w:val="Heading2"/>
      </w:pPr>
      <w:r>
        <w:t xml:space="preserve">What should drive the quarter</w:t>
      </w:r>
    </w:p>
    <w:bookmarkStart w:id="14" w:name="X80c2b63ce26d811e074b08a5b618e201e5e660f"/>
    <w:p>
      <w:pPr>
        <w:pStyle w:val="Heading3"/>
      </w:pPr>
      <w:r>
        <w:t xml:space="preserve">1. Backlog conversion should produce a visible growth acceleration</w:t>
      </w:r>
    </w:p>
    <w:p>
      <w:pPr>
        <w:pStyle w:val="FirstParagraph"/>
      </w:pPr>
      <w:r>
        <w:t xml:space="preserve">Fiscal Q2 underlying sales increased only 0.5%, affected by the Middle East disruption and a software contract-renewal comparison. However, underlying orders grew 5%, backlog reached</w:t>
      </w:r>
      <w:r>
        <w:t xml:space="preserve"> </w:t>
      </w:r>
      <w:r>
        <w:rPr>
          <w:b/>
          <w:bCs/>
        </w:rPr>
        <w:t xml:space="preserve">$8.2 billion</w:t>
      </w:r>
      <w:r>
        <w:t xml:space="preserve">, up 9%, and book-to-bill was 1.07.</w:t>
      </w:r>
    </w:p>
    <w:p>
      <w:pPr>
        <w:pStyle w:val="BodyText"/>
      </w:pPr>
      <w:r>
        <w:t xml:space="preserve">Management consequently forecast a sharp Q3 acceleration to approximately 5% underlying growth. That forecast was supported by backlog phasing rather than a need for a sudden improvement in short-cycle demand.</w:t>
      </w:r>
    </w:p>
    <w:p>
      <w:pPr>
        <w:pStyle w:val="BodyText"/>
      </w:pPr>
      <w:r>
        <w:t xml:space="preserve">A result near the revenue guide should therefore be achievable. The more important question is whether orders replenish the backlog fast enough to support fiscal Q4 and early fiscal 2027.</w:t>
      </w:r>
    </w:p>
    <w:p>
      <w:pPr>
        <w:pStyle w:val="BodyText"/>
      </w:pPr>
      <w:r>
        <w:rPr>
          <w:b/>
          <w:bCs/>
        </w:rPr>
        <w:t xml:space="preserve">Positive signal:</w:t>
      </w:r>
      <w:r>
        <w:t xml:space="preserve"> </w:t>
      </w:r>
      <w:r>
        <w:t xml:space="preserve">Underlying orders of at least 5%, book-to-bill around or above 1.0, and continued backlog growth.</w:t>
      </w:r>
    </w:p>
    <w:p>
      <w:pPr>
        <w:pStyle w:val="BodyText"/>
      </w:pPr>
      <w:r>
        <w:rPr>
          <w:b/>
          <w:bCs/>
        </w:rPr>
        <w:t xml:space="preserve">Warning signal:</w:t>
      </w:r>
      <w:r>
        <w:t xml:space="preserve"> </w:t>
      </w:r>
      <w:r>
        <w:t xml:space="preserve">Sales meet expectations through backlog conversion, but orders slow materially—especially in Intelligent Devices.</w:t>
      </w:r>
    </w:p>
    <w:bookmarkEnd w:id="14"/>
    <w:bookmarkStart w:id="15" w:name="X019e46b17ee2f4b75a9eb920325f2493c2646d5"/>
    <w:p>
      <w:pPr>
        <w:pStyle w:val="Heading3"/>
      </w:pPr>
      <w:r>
        <w:t xml:space="preserve">2. Software &amp; Systems is expected to lead</w:t>
      </w:r>
    </w:p>
    <w:p>
      <w:pPr>
        <w:pStyle w:val="FirstParagraph"/>
      </w:pPr>
      <w:r>
        <w:t xml:space="preserve">Management projected approximately</w:t>
      </w:r>
      <w:r>
        <w:t xml:space="preserve"> </w:t>
      </w:r>
      <w:r>
        <w:rPr>
          <w:b/>
          <w:bCs/>
        </w:rPr>
        <w:t xml:space="preserve">8% underlying growth</w:t>
      </w:r>
      <w:r>
        <w:t xml:space="preserve"> </w:t>
      </w:r>
      <w:r>
        <w:t xml:space="preserve">for Software &amp; Systems in Q3, including:</w:t>
      </w:r>
    </w:p>
    <w:p>
      <w:pPr>
        <w:pStyle w:val="Compact"/>
        <w:numPr>
          <w:ilvl w:val="0"/>
          <w:numId w:val="1002"/>
        </w:numPr>
      </w:pPr>
      <w:r>
        <w:t xml:space="preserve">Mid-teens growth in Test &amp; Measurement.</w:t>
      </w:r>
    </w:p>
    <w:p>
      <w:pPr>
        <w:pStyle w:val="Compact"/>
        <w:numPr>
          <w:ilvl w:val="0"/>
          <w:numId w:val="1002"/>
        </w:numPr>
      </w:pPr>
      <w:r>
        <w:t xml:space="preserve">Mid-single-digit growth in Control Systems &amp; Software.</w:t>
      </w:r>
    </w:p>
    <w:p>
      <w:pPr>
        <w:pStyle w:val="Compact"/>
        <w:numPr>
          <w:ilvl w:val="0"/>
          <w:numId w:val="1002"/>
        </w:numPr>
      </w:pPr>
      <w:r>
        <w:t xml:space="preserve">Full-year industrial-software annual contract value growth of at least 10%.</w:t>
      </w:r>
    </w:p>
    <w:p>
      <w:pPr>
        <w:pStyle w:val="FirstParagraph"/>
      </w:pPr>
      <w:r>
        <w:t xml:space="preserve">Test &amp; Measurement grew 12% underlying in Q2, led by semiconductor and aerospace-and-defense applications. Management said double-digit growth should be sustainable over the next several quarters. Control Systems also benefits from power investment through Ovation and from life-sciences projects through DeltaV.</w:t>
      </w:r>
    </w:p>
    <w:p>
      <w:pPr>
        <w:pStyle w:val="BodyText"/>
      </w:pPr>
      <w:r>
        <w:t xml:space="preserve">The key concern is mix. Backlog-driven project revenue can carry lower margins than software renewals and higher-margin product sales. Thus, strong segment growth accompanied by disappointing segment margin would be less impressive than the headline revenue suggests.</w:t>
      </w:r>
    </w:p>
    <w:bookmarkEnd w:id="15"/>
    <w:bookmarkStart w:id="16" w:name="Xe59ea9e44aab51f53bde20300578896bfd2444d"/>
    <w:p>
      <w:pPr>
        <w:pStyle w:val="Heading3"/>
      </w:pPr>
      <w:r>
        <w:t xml:space="preserve">3. Power is the most important secular proof point</w:t>
      </w:r>
    </w:p>
    <w:p>
      <w:pPr>
        <w:pStyle w:val="FirstParagraph"/>
      </w:pPr>
      <w:r>
        <w:t xml:space="preserve">Power has become one of Emerson’s strongest growth engines:</w:t>
      </w:r>
    </w:p>
    <w:p>
      <w:pPr>
        <w:pStyle w:val="Compact"/>
        <w:numPr>
          <w:ilvl w:val="0"/>
          <w:numId w:val="1003"/>
        </w:numPr>
      </w:pPr>
      <w:r>
        <w:t xml:space="preserve">Q2 power sales increased 23%.</w:t>
      </w:r>
    </w:p>
    <w:p>
      <w:pPr>
        <w:pStyle w:val="Compact"/>
        <w:numPr>
          <w:ilvl w:val="0"/>
          <w:numId w:val="1003"/>
        </w:numPr>
      </w:pPr>
      <w:r>
        <w:t xml:space="preserve">Ovation orders increased 41%.</w:t>
      </w:r>
    </w:p>
    <w:p>
      <w:pPr>
        <w:pStyle w:val="Compact"/>
        <w:numPr>
          <w:ilvl w:val="0"/>
          <w:numId w:val="1003"/>
        </w:numPr>
      </w:pPr>
      <w:r>
        <w:t xml:space="preserve">Digital-grid-management annual contract value increased 31%.</w:t>
      </w:r>
    </w:p>
    <w:p>
      <w:pPr>
        <w:pStyle w:val="Compact"/>
        <w:numPr>
          <w:ilvl w:val="0"/>
          <w:numId w:val="1003"/>
        </w:numPr>
      </w:pPr>
      <w:r>
        <w:t xml:space="preserve">New opportunities pushed the company’s project funnel to</w:t>
      </w:r>
      <w:r>
        <w:t xml:space="preserve"> </w:t>
      </w:r>
      <w:r>
        <w:rPr>
          <w:b/>
          <w:bCs/>
        </w:rPr>
        <w:t xml:space="preserve">$11.2 billion</w:t>
      </w:r>
      <w:r>
        <w:t xml:space="preserve">.</w:t>
      </w:r>
    </w:p>
    <w:p>
      <w:pPr>
        <w:pStyle w:val="FirstParagraph"/>
      </w:pPr>
      <w:r>
        <w:t xml:space="preserve">The demand spans generation, plant modernization, transmission and distribution, and behind-the-meter power for data centers. This gives Emerson broader exposure than a simple data-center equipment trade.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4"/>
        </w:numPr>
      </w:pPr>
      <w:r>
        <w:t xml:space="preserve">Additional greenfield generation awards.</w:t>
      </w:r>
    </w:p>
    <w:p>
      <w:pPr>
        <w:pStyle w:val="Compact"/>
        <w:numPr>
          <w:ilvl w:val="0"/>
          <w:numId w:val="1004"/>
        </w:numPr>
      </w:pPr>
      <w:r>
        <w:t xml:space="preserve">Timing of behind-the-meter projects.</w:t>
      </w:r>
    </w:p>
    <w:p>
      <w:pPr>
        <w:pStyle w:val="Compact"/>
        <w:numPr>
          <w:ilvl w:val="0"/>
          <w:numId w:val="1004"/>
        </w:numPr>
      </w:pPr>
      <w:r>
        <w:t xml:space="preserve">Ovation backlog conversion.</w:t>
      </w:r>
    </w:p>
    <w:p>
      <w:pPr>
        <w:pStyle w:val="Compact"/>
        <w:numPr>
          <w:ilvl w:val="0"/>
          <w:numId w:val="1004"/>
        </w:numPr>
      </w:pPr>
      <w:r>
        <w:t xml:space="preserve">Continued rapid growth in AspenTech’s grid-management portfolio.</w:t>
      </w:r>
    </w:p>
    <w:p>
      <w:pPr>
        <w:pStyle w:val="Compact"/>
        <w:numPr>
          <w:ilvl w:val="0"/>
          <w:numId w:val="1004"/>
        </w:numPr>
      </w:pPr>
      <w:r>
        <w:t xml:space="preserve">Any capacity, supply-chain, or project-timing constraints.</w:t>
      </w:r>
    </w:p>
    <w:p>
      <w:pPr>
        <w:pStyle w:val="FirstParagraph"/>
      </w:pPr>
      <w:r>
        <w:t xml:space="preserve">Power does not need to accelerate every quarter, but management needs to show that recent order strength is translating into multiyear revenue visibility.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2f3e41eb8fadda720ed0bf5eae5dc5e912d911b"/>
    <w:p>
      <w:pPr>
        <w:pStyle w:val="Heading2"/>
      </w:pPr>
      <w:r>
        <w:t xml:space="preserve">The biggest swing factor: Middle East recovery</w:t>
      </w:r>
    </w:p>
    <w:p>
      <w:pPr>
        <w:pStyle w:val="FirstParagraph"/>
      </w:pPr>
      <w:r>
        <w:t xml:space="preserve">In Q2, the Middle East conflict reduced consolidated underlying sales growth by approximately one percentage point. Emerson lowered full-year expectations to account for roughly</w:t>
      </w:r>
      <w:r>
        <w:t xml:space="preserve"> </w:t>
      </w:r>
      <w:r>
        <w:rPr>
          <w:b/>
          <w:bCs/>
        </w:rPr>
        <w:t xml:space="preserve">$150 million of disruption</w:t>
      </w:r>
      <w:r>
        <w:t xml:space="preserve">, including approximately $50 million in Q2 and another $100 million anticipated in the second half.</w:t>
      </w:r>
    </w:p>
    <w:p>
      <w:pPr>
        <w:pStyle w:val="BodyText"/>
      </w:pPr>
      <w:r>
        <w:t xml:space="preserve">The Q3 guidance assumed a gradual operational recovery and that the conflict remained geographically contained. At the last update:</w:t>
      </w:r>
    </w:p>
    <w:p>
      <w:pPr>
        <w:pStyle w:val="Compact"/>
        <w:numPr>
          <w:ilvl w:val="0"/>
          <w:numId w:val="1005"/>
        </w:numPr>
      </w:pPr>
      <w:r>
        <w:t xml:space="preserve">Customer activity was improving.</w:t>
      </w:r>
    </w:p>
    <w:p>
      <w:pPr>
        <w:pStyle w:val="Compact"/>
        <w:numPr>
          <w:ilvl w:val="0"/>
          <w:numId w:val="1005"/>
        </w:numPr>
      </w:pPr>
      <w:r>
        <w:t xml:space="preserve">Emerson’s factories were operational.</w:t>
      </w:r>
    </w:p>
    <w:p>
      <w:pPr>
        <w:pStyle w:val="Compact"/>
        <w:numPr>
          <w:ilvl w:val="0"/>
          <w:numId w:val="1005"/>
        </w:numPr>
      </w:pPr>
      <w:r>
        <w:t xml:space="preserve">Field-service activity had recovered to about 80% of pre-conflict levels.</w:t>
      </w:r>
    </w:p>
    <w:p>
      <w:pPr>
        <w:pStyle w:val="Compact"/>
        <w:numPr>
          <w:ilvl w:val="0"/>
          <w:numId w:val="1005"/>
        </w:numPr>
      </w:pPr>
      <w:r>
        <w:t xml:space="preserve">Management identified approximately $100 million of rebuild and restart opportunities over several quarters.</w:t>
      </w:r>
    </w:p>
    <w:p>
      <w:pPr>
        <w:pStyle w:val="FirstParagraph"/>
      </w:pPr>
      <w:r>
        <w:t xml:space="preserve">The quarter will test whether this recovery proceeded according to plan. An improvement in service, MRO, logistics, and project execution would support the current full-year outlook. Renewed disruption could pressure Intelligent Devices revenue, although the regional business carries below-average margins, partly limiting the earnings effect.</w:t>
      </w:r>
    </w:p>
    <w:p>
      <w:pPr>
        <w:pStyle w:val="BodyText"/>
      </w:pPr>
      <w:r>
        <w:t xml:space="preserve">The rebuild opportunity is upside, but investors should avoid treating it as immediate Q3 revenue. Management previously characterized it as a multiquarter opportunity.</w:t>
      </w:r>
    </w:p>
    <w:p>
      <w:r>
        <w:pict>
          <v:rect style="width:0;height:1.5pt" o:hralign="center" o:hrstd="t" o:hr="t"/>
        </w:pict>
      </w:r>
    </w:p>
    <w:bookmarkEnd w:id="18"/>
    <w:bookmarkStart w:id="20" w:name="X3e4ee70411a361aa16ed87e4602c6de7cb0ffef"/>
    <w:p>
      <w:pPr>
        <w:pStyle w:val="Heading2"/>
      </w:pPr>
      <w:r>
        <w:t xml:space="preserve">Margins: execution matters more than the mix headwind</w:t>
      </w:r>
    </w:p>
    <w:p>
      <w:pPr>
        <w:pStyle w:val="FirstParagraph"/>
      </w:pPr>
      <w:r>
        <w:t xml:space="preserve">Management guided adjusted segment EBITA margin to approximately</w:t>
      </w:r>
      <w:r>
        <w:t xml:space="preserve"> </w:t>
      </w:r>
      <w:r>
        <w:rPr>
          <w:b/>
          <w:bCs/>
        </w:rPr>
        <w:t xml:space="preserve">28%</w:t>
      </w:r>
      <w:r>
        <w:t xml:space="preserve">, versus 27.6% in Q2 and 27.1% in the prior-year Q3.</w:t>
      </w:r>
    </w:p>
    <w:p>
      <w:pPr>
        <w:pStyle w:val="BodyText"/>
      </w:pPr>
      <w:r>
        <w:t xml:space="preserve">Several factors support improvement:</w:t>
      </w:r>
    </w:p>
    <w:p>
      <w:pPr>
        <w:pStyle w:val="Compact"/>
        <w:numPr>
          <w:ilvl w:val="0"/>
          <w:numId w:val="1006"/>
        </w:numPr>
      </w:pPr>
      <w:r>
        <w:t xml:space="preserve">Disciplined pricing.</w:t>
      </w:r>
    </w:p>
    <w:p>
      <w:pPr>
        <w:pStyle w:val="Compact"/>
        <w:numPr>
          <w:ilvl w:val="0"/>
          <w:numId w:val="1006"/>
        </w:numPr>
      </w:pPr>
      <w:r>
        <w:t xml:space="preserve">Cost reductions and footprint actions.</w:t>
      </w:r>
    </w:p>
    <w:p>
      <w:pPr>
        <w:pStyle w:val="Compact"/>
        <w:numPr>
          <w:ilvl w:val="0"/>
          <w:numId w:val="1006"/>
        </w:numPr>
      </w:pPr>
      <w:r>
        <w:t xml:space="preserve">AspenTech and NI synergies.</w:t>
      </w:r>
    </w:p>
    <w:p>
      <w:pPr>
        <w:pStyle w:val="Compact"/>
        <w:numPr>
          <w:ilvl w:val="0"/>
          <w:numId w:val="1006"/>
        </w:numPr>
      </w:pPr>
      <w:r>
        <w:t xml:space="preserve">Reversal of part of the software-renewal comparison.</w:t>
      </w:r>
    </w:p>
    <w:p>
      <w:pPr>
        <w:pStyle w:val="Compact"/>
        <w:numPr>
          <w:ilvl w:val="0"/>
          <w:numId w:val="1006"/>
        </w:numPr>
      </w:pPr>
      <w:r>
        <w:t xml:space="preserve">Higher volume.</w:t>
      </w:r>
    </w:p>
    <w:p>
      <w:pPr>
        <w:pStyle w:val="FirstParagraph"/>
      </w:pPr>
      <w:r>
        <w:t xml:space="preserve">Potential offsets include:</w:t>
      </w:r>
    </w:p>
    <w:p>
      <w:pPr>
        <w:pStyle w:val="Compact"/>
        <w:numPr>
          <w:ilvl w:val="0"/>
          <w:numId w:val="1007"/>
        </w:numPr>
      </w:pPr>
      <w:r>
        <w:t xml:space="preserve">More project revenue.</w:t>
      </w:r>
    </w:p>
    <w:p>
      <w:pPr>
        <w:pStyle w:val="Compact"/>
        <w:numPr>
          <w:ilvl w:val="0"/>
          <w:numId w:val="1007"/>
        </w:numPr>
      </w:pPr>
      <w:r>
        <w:t xml:space="preserve">Freight costs associated with Middle East disruption.</w:t>
      </w:r>
    </w:p>
    <w:p>
      <w:pPr>
        <w:pStyle w:val="Compact"/>
        <w:numPr>
          <w:ilvl w:val="0"/>
          <w:numId w:val="1007"/>
        </w:numPr>
      </w:pPr>
      <w:r>
        <w:t xml:space="preserve">Tariffs and component inflation.</w:t>
      </w:r>
    </w:p>
    <w:p>
      <w:pPr>
        <w:pStyle w:val="Compact"/>
        <w:numPr>
          <w:ilvl w:val="0"/>
          <w:numId w:val="1007"/>
        </w:numPr>
      </w:pPr>
      <w:r>
        <w:t xml:space="preserve">Continued weakness in Europe and China.</w:t>
      </w:r>
    </w:p>
    <w:p>
      <w:pPr>
        <w:pStyle w:val="FirstParagraph"/>
      </w:pPr>
      <w:r>
        <w:t xml:space="preserve">A 28% result would confirm that Emerson can protect profitability despite uneven regional demand. A material shortfall would raise questions about the company’s longer-term target of</w:t>
      </w:r>
      <w:r>
        <w:t xml:space="preserve"> </w:t>
      </w:r>
      <w:r>
        <w:rPr>
          <w:b/>
          <w:bCs/>
        </w:rPr>
        <w:t xml:space="preserve">30% adjusted segment EBITA margin by fiscal 2028</w:t>
      </w:r>
      <w:r>
        <w:t xml:space="preserve">. Emerson’s 2028 framework also calls for $21 billion of revenue, $8 of adjusted EPS, and a 20% free-cash-flow margin. (</w:t>
      </w:r>
      <w:hyperlink r:id="rId19">
        <w:r>
          <w:rPr>
            <w:rStyle w:val="Hyperlink"/>
          </w:rPr>
          <w:t xml:space="preserve">ir.emerson.com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20"/>
    <w:bookmarkStart w:id="22" w:name="X0a5b3ce3f7665f6e37c0661c3c1600cfd02049b"/>
    <w:p>
      <w:pPr>
        <w:pStyle w:val="Heading2"/>
      </w:pPr>
      <w:r>
        <w:t xml:space="preserve">Full-year guidance is the likely stock driver</w:t>
      </w:r>
    </w:p>
    <w:p>
      <w:pPr>
        <w:pStyle w:val="FirstParagraph"/>
      </w:pPr>
      <w:r>
        <w:t xml:space="preserve">Current fiscal 2026 guidance calls for:</w:t>
      </w:r>
    </w:p>
    <w:p>
      <w:pPr>
        <w:pStyle w:val="Compact"/>
        <w:numPr>
          <w:ilvl w:val="0"/>
          <w:numId w:val="1008"/>
        </w:numPr>
      </w:pPr>
      <w:r>
        <w:t xml:space="preserve">Approximately 4.5% reported sales growth.</w:t>
      </w:r>
    </w:p>
    <w:p>
      <w:pPr>
        <w:pStyle w:val="Compact"/>
        <w:numPr>
          <w:ilvl w:val="0"/>
          <w:numId w:val="1008"/>
        </w:numPr>
      </w:pPr>
      <w:r>
        <w:t xml:space="preserve">Approximately 3% underlying sales growth.</w:t>
      </w:r>
    </w:p>
    <w:p>
      <w:pPr>
        <w:pStyle w:val="Compact"/>
        <w:numPr>
          <w:ilvl w:val="0"/>
          <w:numId w:val="1008"/>
        </w:numPr>
      </w:pPr>
      <w:r>
        <w:t xml:space="preserve">Approximately 28% adjusted segment EBITA margin.</w:t>
      </w:r>
    </w:p>
    <w:p>
      <w:pPr>
        <w:pStyle w:val="Compact"/>
        <w:numPr>
          <w:ilvl w:val="0"/>
          <w:numId w:val="1008"/>
        </w:numPr>
      </w:pPr>
      <w:r>
        <w:t xml:space="preserve">Adjusted EPS of</w:t>
      </w:r>
      <w:r>
        <w:t xml:space="preserve"> </w:t>
      </w:r>
      <m:oMath>
        <m:r>
          <m:t>6.45</m:t>
        </m:r>
        <m:r>
          <m:rPr>
            <m:sty m:val="p"/>
          </m:rPr>
          <m:t>–</m:t>
        </m:r>
      </m:oMath>
      <w:r>
        <w:t xml:space="preserve">6.55.</w:t>
      </w:r>
    </w:p>
    <w:p>
      <w:pPr>
        <w:pStyle w:val="Compact"/>
        <w:numPr>
          <w:ilvl w:val="0"/>
          <w:numId w:val="1008"/>
        </w:numPr>
      </w:pPr>
      <w:r>
        <w:t xml:space="preserve">Free cash flow of</w:t>
      </w:r>
      <w:r>
        <w:t xml:space="preserve"> </w:t>
      </w:r>
      <m:oMath>
        <m:r>
          <m:t>3.5</m:t>
        </m:r>
        <m:r>
          <m:rPr>
            <m:sty m:val="p"/>
          </m:rPr>
          <m:t>–</m:t>
        </m:r>
      </m:oMath>
      <w:r>
        <w:t xml:space="preserve">3.6 billion.</w:t>
      </w:r>
    </w:p>
    <w:p>
      <w:pPr>
        <w:pStyle w:val="Compact"/>
        <w:numPr>
          <w:ilvl w:val="0"/>
          <w:numId w:val="1008"/>
        </w:numPr>
      </w:pPr>
      <w:r>
        <w:t xml:space="preserve">About $1 billion of share repurchases.</w:t>
      </w:r>
    </w:p>
    <w:p>
      <w:pPr>
        <w:pStyle w:val="FirstParagraph"/>
      </w:pPr>
      <w:r>
        <w:t xml:space="preserve">Wall Street’s fiscal-year EPS consensus is approximately</w:t>
      </w:r>
      <w:r>
        <w:t xml:space="preserve"> </w:t>
      </w:r>
      <w:r>
        <w:rPr>
          <w:b/>
          <w:bCs/>
        </w:rPr>
        <w:t xml:space="preserve">$6.49</w:t>
      </w:r>
      <w:r>
        <w:t xml:space="preserve">, near the midpoint of company guidance. The market is therefore not pricing a major earnings reset, but it is also leaving management room for a modest raise if Q3 lands near the high end and the Middle East recovery remains on track. (</w:t>
      </w:r>
      <w:hyperlink r:id="rId12">
        <w:r>
          <w:rPr>
            <w:rStyle w:val="Hyperlink"/>
          </w:rPr>
          <w:t xml:space="preserve">stage.zacks.com</w:t>
        </w:r>
      </w:hyperlink>
      <w:r>
        <w:t xml:space="preserve">)</w:t>
      </w:r>
    </w:p>
    <w:p>
      <w:pPr>
        <w:pStyle w:val="BodyText"/>
      </w:pPr>
      <w:r>
        <w:t xml:space="preserve">Assuming Q3 adjusted EPS falls within the guided range, existing full-year guidance implies approximately</w:t>
      </w:r>
      <w:r>
        <w:t xml:space="preserve"> </w:t>
      </w:r>
      <m:oMath>
        <m:r>
          <m:t>1.75</m:t>
        </m:r>
        <m:r>
          <m:rPr>
            <m:sty m:val="p"/>
          </m:rPr>
          <m:t>–</m:t>
        </m:r>
      </m:oMath>
      <w:r>
        <w:rPr>
          <w:b/>
          <w:bCs/>
        </w:rPr>
        <w:t xml:space="preserve">1.90 of Q4 adjusted EPS</w:t>
      </w:r>
      <w:r>
        <w:t xml:space="preserve">. That is a meaningful sequential step-up. Investors should focus on whether management explicitly supports that implied finish.</w:t>
      </w:r>
    </w:p>
    <w:bookmarkStart w:id="21" w:name="X6c9c211596300ed0de20b4fe1ae620335cb7101"/>
    <w:p>
      <w:pPr>
        <w:pStyle w:val="Heading3"/>
      </w:pPr>
      <w:r>
        <w:t xml:space="preserve">What would constitute a high-quality raise?</w:t>
      </w:r>
    </w:p>
    <w:p>
      <w:pPr>
        <w:pStyle w:val="FirstParagraph"/>
      </w:pPr>
      <w:r>
        <w:t xml:space="preserve">A raise driven by:</w:t>
      </w:r>
    </w:p>
    <w:p>
      <w:pPr>
        <w:pStyle w:val="Compact"/>
        <w:numPr>
          <w:ilvl w:val="0"/>
          <w:numId w:val="1009"/>
        </w:numPr>
      </w:pPr>
      <w:r>
        <w:t xml:space="preserve">Better organic growth.</w:t>
      </w:r>
    </w:p>
    <w:p>
      <w:pPr>
        <w:pStyle w:val="Compact"/>
        <w:numPr>
          <w:ilvl w:val="0"/>
          <w:numId w:val="1009"/>
        </w:numPr>
      </w:pPr>
      <w:r>
        <w:t xml:space="preserve">Higher orders or backlog.</w:t>
      </w:r>
    </w:p>
    <w:p>
      <w:pPr>
        <w:pStyle w:val="Compact"/>
        <w:numPr>
          <w:ilvl w:val="0"/>
          <w:numId w:val="1009"/>
        </w:numPr>
      </w:pPr>
      <w:r>
        <w:t xml:space="preserve">Stronger software ACV.</w:t>
      </w:r>
    </w:p>
    <w:p>
      <w:pPr>
        <w:pStyle w:val="Compact"/>
        <w:numPr>
          <w:ilvl w:val="0"/>
          <w:numId w:val="1009"/>
        </w:numPr>
      </w:pPr>
      <w:r>
        <w:t xml:space="preserve">Improved operating leverage.</w:t>
      </w:r>
    </w:p>
    <w:p>
      <w:pPr>
        <w:pStyle w:val="Compact"/>
        <w:numPr>
          <w:ilvl w:val="0"/>
          <w:numId w:val="1009"/>
        </w:numPr>
      </w:pPr>
      <w:r>
        <w:t xml:space="preserve">Better cash conversion.</w:t>
      </w:r>
    </w:p>
    <w:p>
      <w:pPr>
        <w:pStyle w:val="FirstParagraph"/>
      </w:pPr>
      <w:r>
        <w:t xml:space="preserve">A raise driven mainly by foreign exchange, taxes, or share count would be less compelling.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other-issues-to-watch"/>
    <w:p>
      <w:pPr>
        <w:pStyle w:val="Heading2"/>
      </w:pPr>
      <w:r>
        <w:t xml:space="preserve">Other issues to watch</w:t>
      </w:r>
    </w:p>
    <w:bookmarkStart w:id="23" w:name="china-and-europe"/>
    <w:p>
      <w:pPr>
        <w:pStyle w:val="Heading3"/>
      </w:pPr>
      <w:r>
        <w:t xml:space="preserve">China and Europe</w:t>
      </w:r>
    </w:p>
    <w:p>
      <w:pPr>
        <w:pStyle w:val="FirstParagraph"/>
      </w:pPr>
      <w:r>
        <w:t xml:space="preserve">Management expects China to decline at a mid-single-digit rate for the year, primarily because of weak chemical-industry spending, while Europe remains soft. An unchanged outlook is manageable because North America and India have been compensating.</w:t>
      </w:r>
    </w:p>
    <w:p>
      <w:pPr>
        <w:pStyle w:val="BodyText"/>
      </w:pPr>
      <w:r>
        <w:t xml:space="preserve">A further China downgrade would matter most if it spreads beyond chemicals into broader automation demand.</w:t>
      </w:r>
    </w:p>
    <w:bookmarkEnd w:id="23"/>
    <w:bookmarkStart w:id="24" w:name="free-cash-flow"/>
    <w:p>
      <w:pPr>
        <w:pStyle w:val="Heading3"/>
      </w:pPr>
      <w:r>
        <w:t xml:space="preserve">Free cash flow</w:t>
      </w:r>
    </w:p>
    <w:p>
      <w:pPr>
        <w:pStyle w:val="FirstParagraph"/>
      </w:pPr>
      <w:r>
        <w:t xml:space="preserve">First-half free cash flow was held back by tax timing, working-capital investment, and interest expense. Management retained its</w:t>
      </w:r>
      <w:r>
        <w:t xml:space="preserve"> </w:t>
      </w:r>
      <m:oMath>
        <m:r>
          <m:t>3.5</m:t>
        </m:r>
        <m:r>
          <m:rPr>
            <m:sty m:val="p"/>
          </m:rPr>
          <m:t>–</m:t>
        </m:r>
      </m:oMath>
      <w:r>
        <w:rPr>
          <w:b/>
          <w:bCs/>
        </w:rPr>
        <w:t xml:space="preserve">3.6 billion</w:t>
      </w:r>
      <w:r>
        <w:t xml:space="preserve"> </w:t>
      </w:r>
      <w:r>
        <w:t xml:space="preserve">annual target, implying a heavily second-half-weighted year and an 18.6%–19.2% free-cash-flow margin on current revenue consensus.</w:t>
      </w:r>
    </w:p>
    <w:p>
      <w:pPr>
        <w:pStyle w:val="BodyText"/>
      </w:pPr>
      <w:r>
        <w:t xml:space="preserve">Investors should look for evidence that inventory and receivables are converting as backlog ships. Another working-capital build would make the full-year target more demanding.</w:t>
      </w:r>
    </w:p>
    <w:bookmarkEnd w:id="24"/>
    <w:bookmarkStart w:id="25" w:name="industrial-software-and-ai"/>
    <w:p>
      <w:pPr>
        <w:pStyle w:val="Heading3"/>
      </w:pPr>
      <w:r>
        <w:t xml:space="preserve">Industrial software and AI</w:t>
      </w:r>
    </w:p>
    <w:p>
      <w:pPr>
        <w:pStyle w:val="FirstParagraph"/>
      </w:pPr>
      <w:r>
        <w:t xml:space="preserve">Emerson’s software is specialized, mission-critical industrial software rather than general-purpose enterprise software. Management continues to target at least 10% ACV growth and argues that AI should improve the value of its portfolio rather than displace it.</w:t>
      </w:r>
    </w:p>
    <w:p>
      <w:pPr>
        <w:pStyle w:val="BodyText"/>
      </w:pPr>
      <w:r>
        <w:t xml:space="preserve">Near-term revenue from newer AI products is still limited. The investable signal is therefore not “AI revenue” but software ACV, renewal rates, cross-selling, and evidence that Emerson’s integrated software architecture is winning larger deployments.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0" w:name="bull-base-and-bear-setups"/>
    <w:p>
      <w:pPr>
        <w:pStyle w:val="Heading2"/>
      </w:pPr>
      <w:r>
        <w:t xml:space="preserve">Bull, base, and bear setups</w:t>
      </w:r>
    </w:p>
    <w:bookmarkStart w:id="27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Revenue above $4.8 billion.</w:t>
      </w:r>
    </w:p>
    <w:p>
      <w:pPr>
        <w:pStyle w:val="Compact"/>
        <w:numPr>
          <w:ilvl w:val="0"/>
          <w:numId w:val="1010"/>
        </w:numPr>
      </w:pPr>
      <w:r>
        <w:t xml:space="preserve">Adjusted EPS at or above $1.70.</w:t>
      </w:r>
    </w:p>
    <w:p>
      <w:pPr>
        <w:pStyle w:val="Compact"/>
        <w:numPr>
          <w:ilvl w:val="0"/>
          <w:numId w:val="1010"/>
        </w:numPr>
      </w:pPr>
      <w:r>
        <w:t xml:space="preserve">Underlying orders remain at least mid-single digit.</w:t>
      </w:r>
    </w:p>
    <w:p>
      <w:pPr>
        <w:pStyle w:val="Compact"/>
        <w:numPr>
          <w:ilvl w:val="0"/>
          <w:numId w:val="1010"/>
        </w:numPr>
      </w:pPr>
      <w:r>
        <w:t xml:space="preserve">Margin exceeds 28%.</w:t>
      </w:r>
    </w:p>
    <w:p>
      <w:pPr>
        <w:pStyle w:val="Compact"/>
        <w:numPr>
          <w:ilvl w:val="0"/>
          <w:numId w:val="1010"/>
        </w:numPr>
      </w:pPr>
      <w:r>
        <w:t xml:space="preserve">Middle East recovery is on plan or ahead.</w:t>
      </w:r>
    </w:p>
    <w:p>
      <w:pPr>
        <w:pStyle w:val="Compact"/>
        <w:numPr>
          <w:ilvl w:val="0"/>
          <w:numId w:val="1010"/>
        </w:numPr>
      </w:pPr>
      <w:r>
        <w:t xml:space="preserve">Full-year EPS guidance increases.</w:t>
      </w:r>
    </w:p>
    <w:p>
      <w:pPr>
        <w:pStyle w:val="Compact"/>
        <w:numPr>
          <w:ilvl w:val="0"/>
          <w:numId w:val="1010"/>
        </w:numPr>
      </w:pPr>
      <w:r>
        <w:t xml:space="preserve">Management gives a strong initial read on fiscal 2027.</w:t>
      </w:r>
    </w:p>
    <w:p>
      <w:pPr>
        <w:pStyle w:val="FirstParagraph"/>
      </w:pPr>
      <w:r>
        <w:t xml:space="preserve">This would reinforce the thesis that Emerson has become a structurally faster-growing, higher-margin automation company.</w:t>
      </w:r>
    </w:p>
    <w:bookmarkEnd w:id="27"/>
    <w:bookmarkStart w:id="28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Revenue and EPS land near consensus.</w:t>
      </w:r>
    </w:p>
    <w:p>
      <w:pPr>
        <w:pStyle w:val="Compact"/>
        <w:numPr>
          <w:ilvl w:val="0"/>
          <w:numId w:val="1011"/>
        </w:numPr>
      </w:pPr>
      <w:r>
        <w:t xml:space="preserve">Orders remain positive but moderate.</w:t>
      </w:r>
    </w:p>
    <w:p>
      <w:pPr>
        <w:pStyle w:val="Compact"/>
        <w:numPr>
          <w:ilvl w:val="0"/>
          <w:numId w:val="1011"/>
        </w:numPr>
      </w:pPr>
      <w:r>
        <w:t xml:space="preserve">Full-year guidance is reiterated or narrowly raised.</w:t>
      </w:r>
    </w:p>
    <w:p>
      <w:pPr>
        <w:pStyle w:val="Compact"/>
        <w:numPr>
          <w:ilvl w:val="0"/>
          <w:numId w:val="1011"/>
        </w:numPr>
      </w:pPr>
      <w:r>
        <w:t xml:space="preserve">Power and Test &amp; Measurement remain strong.</w:t>
      </w:r>
    </w:p>
    <w:p>
      <w:pPr>
        <w:pStyle w:val="Compact"/>
        <w:numPr>
          <w:ilvl w:val="0"/>
          <w:numId w:val="1011"/>
        </w:numPr>
      </w:pPr>
      <w:r>
        <w:t xml:space="preserve">China and Europe stay weak but contained.</w:t>
      </w:r>
    </w:p>
    <w:p>
      <w:pPr>
        <w:pStyle w:val="FirstParagraph"/>
      </w:pPr>
      <w:r>
        <w:t xml:space="preserve">This would be operationally solid, though the stock reaction could be muted given the recent rally and elevated valuation.</w:t>
      </w:r>
    </w:p>
    <w:bookmarkEnd w:id="28"/>
    <w:bookmarkStart w:id="29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Revenue misses despite backlog support.</w:t>
      </w:r>
    </w:p>
    <w:p>
      <w:pPr>
        <w:pStyle w:val="Compact"/>
        <w:numPr>
          <w:ilvl w:val="0"/>
          <w:numId w:val="1012"/>
        </w:numPr>
      </w:pPr>
      <w:r>
        <w:t xml:space="preserve">Orders decelerate below low-single digits.</w:t>
      </w:r>
    </w:p>
    <w:p>
      <w:pPr>
        <w:pStyle w:val="Compact"/>
        <w:numPr>
          <w:ilvl w:val="0"/>
          <w:numId w:val="1012"/>
        </w:numPr>
      </w:pPr>
      <w:r>
        <w:t xml:space="preserve">Middle East disruption persists.</w:t>
      </w:r>
    </w:p>
    <w:p>
      <w:pPr>
        <w:pStyle w:val="Compact"/>
        <w:numPr>
          <w:ilvl w:val="0"/>
          <w:numId w:val="1012"/>
        </w:numPr>
      </w:pPr>
      <w:r>
        <w:t xml:space="preserve">Software ACV or Test &amp; Measurement growth disappoints.</w:t>
      </w:r>
    </w:p>
    <w:p>
      <w:pPr>
        <w:pStyle w:val="Compact"/>
        <w:numPr>
          <w:ilvl w:val="0"/>
          <w:numId w:val="1012"/>
        </w:numPr>
      </w:pPr>
      <w:r>
        <w:t xml:space="preserve">Margin falls short because of project mix or cost pressure.</w:t>
      </w:r>
    </w:p>
    <w:p>
      <w:pPr>
        <w:pStyle w:val="Compact"/>
        <w:numPr>
          <w:ilvl w:val="0"/>
          <w:numId w:val="1012"/>
        </w:numPr>
      </w:pPr>
      <w:r>
        <w:t xml:space="preserve">Full-year guidance is reduced—or maintained only through favorable nonoperating items.</w:t>
      </w:r>
    </w:p>
    <w:p>
      <w:pPr>
        <w:pStyle w:val="FirstParagraph"/>
      </w:pPr>
      <w:r>
        <w:t xml:space="preserve">The most concerning outcome would be a Q3 revenue miss accompanied by weaker orders, since that would challenge both current execution and the fiscal 2027 setup.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is primarily an</w:t>
      </w:r>
      <w:r>
        <w:t xml:space="preserve"> </w:t>
      </w:r>
      <w:r>
        <w:rPr>
          <w:b/>
          <w:bCs/>
        </w:rPr>
        <w:t xml:space="preserve">orders, guidance, and quality-of-growth quarter</w:t>
      </w:r>
      <w:r>
        <w:t xml:space="preserve">, not just an EPS event.</w:t>
      </w:r>
    </w:p>
    <w:p>
      <w:pPr>
        <w:pStyle w:val="BodyText"/>
      </w:pPr>
      <w:r>
        <w:t xml:space="preserve">Emerson should be able to deliver close to its Q3 financial targets based on backlog, pricing, and strength in power and Test &amp; Measurement. The harder test is proving that these drivers remain durable enough to support a strong fiscal Q4 and the company’s 2028 value-creation framework.</w:t>
      </w:r>
    </w:p>
    <w:p>
      <w:pPr>
        <w:pStyle w:val="BodyText"/>
      </w:pPr>
      <w:r>
        <w:t xml:space="preserve">The cleanest positive report would combine:</w:t>
      </w:r>
    </w:p>
    <w:p>
      <w:pPr>
        <w:pStyle w:val="Compact"/>
        <w:numPr>
          <w:ilvl w:val="0"/>
          <w:numId w:val="1013"/>
        </w:numPr>
      </w:pPr>
      <w:r>
        <w:t xml:space="preserve">Approximately 5% or better underlying growth.</w:t>
      </w:r>
    </w:p>
    <w:p>
      <w:pPr>
        <w:pStyle w:val="Compact"/>
        <w:numPr>
          <w:ilvl w:val="0"/>
          <w:numId w:val="1013"/>
        </w:numPr>
      </w:pPr>
      <w:r>
        <w:t xml:space="preserve">At least mid-single-digit orders.</w:t>
      </w:r>
    </w:p>
    <w:p>
      <w:pPr>
        <w:pStyle w:val="Compact"/>
        <w:numPr>
          <w:ilvl w:val="0"/>
          <w:numId w:val="1013"/>
        </w:numPr>
      </w:pPr>
      <w:r>
        <w:t xml:space="preserve">A 28% or better segment margin.</w:t>
      </w:r>
    </w:p>
    <w:p>
      <w:pPr>
        <w:pStyle w:val="Compact"/>
        <w:numPr>
          <w:ilvl w:val="0"/>
          <w:numId w:val="1013"/>
        </w:numPr>
      </w:pPr>
      <w:r>
        <w:t xml:space="preserve">Continued double-digit Test &amp; Measurement and software-ACV growth.</w:t>
      </w:r>
    </w:p>
    <w:p>
      <w:pPr>
        <w:pStyle w:val="Compact"/>
        <w:numPr>
          <w:ilvl w:val="0"/>
          <w:numId w:val="1013"/>
        </w:numPr>
      </w:pPr>
      <w:r>
        <w:t xml:space="preserve">A credible Middle East recovery.</w:t>
      </w:r>
    </w:p>
    <w:p>
      <w:pPr>
        <w:pStyle w:val="Compact"/>
        <w:numPr>
          <w:ilvl w:val="0"/>
          <w:numId w:val="1013"/>
        </w:numPr>
      </w:pPr>
      <w:r>
        <w:t xml:space="preserve">A modest full-year guidance increase supported by operations and cash flow.</w:t>
      </w:r>
    </w:p>
    <w:p>
      <w:pPr>
        <w:pStyle w:val="FirstParagraph"/>
      </w:pPr>
      <w:r>
        <w:t xml:space="preserve">With the shares already trading near 24 times current-year earnings, the market is likely to reward</w:t>
      </w:r>
      <w:r>
        <w:t xml:space="preserve"> </w:t>
      </w:r>
      <w:r>
        <w:rPr>
          <w:b/>
          <w:bCs/>
        </w:rPr>
        <w:t xml:space="preserve">forward visibility more than a small quarterly EPS beat</w:t>
      </w:r>
      <w:r>
        <w:t xml:space="preserve">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https://ir.emerson.com/news-events/press-releases/detail/620/emerson-highlights-strategy-for-engineering-the-autonomous-future-at-2025-investor-conference?utm_source=openai" TargetMode="External" /><Relationship Type="http://schemas.openxmlformats.org/officeDocument/2006/relationships/hyperlink" Id="rId10" Target="https://ir.emerson.com/news-events/press-releases/detail/629/emerson-reports-second-quarter-2026-results-updates-2026-outlook?utm_source=openai" TargetMode="External" /><Relationship Type="http://schemas.openxmlformats.org/officeDocument/2006/relationships/hyperlink" Id="rId9" Target="https://ir.emerson.com/news-events/press-releases/detail/637/emerson-schedules-third-quarter-2026-earnings-release-and-conference-call?utm_source=openai" TargetMode="External" /><Relationship Type="http://schemas.openxmlformats.org/officeDocument/2006/relationships/hyperlink" Id="rId12" Target="https://stage.zacks.com/stock/quote/EMR/detailed-earning-estimates?icid=SITE_SECTION-SUB_SECTION-quote_nav_tracking-zcom-left_subnav_quote_navbar-detailed_earning_estimates&amp;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ir.emerson.com/news-events/press-releases/detail/620/emerson-highlights-strategy-for-engineering-the-autonomous-future-at-2025-investor-conference?utm_source=openai" TargetMode="External" /><Relationship Type="http://schemas.openxmlformats.org/officeDocument/2006/relationships/hyperlink" Id="rId10" Target="https://ir.emerson.com/news-events/press-releases/detail/629/emerson-reports-second-quarter-2026-results-updates-2026-outlook?utm_source=openai" TargetMode="External" /><Relationship Type="http://schemas.openxmlformats.org/officeDocument/2006/relationships/hyperlink" Id="rId9" Target="https://ir.emerson.com/news-events/press-releases/detail/637/emerson-schedules-third-quarter-2026-earnings-release-and-conference-call?utm_source=openai" TargetMode="External" /><Relationship Type="http://schemas.openxmlformats.org/officeDocument/2006/relationships/hyperlink" Id="rId12" Target="https://stage.zacks.com/stock/quote/EMR/detailed-earning-estimates?icid=SITE_SECTION-SUB_SECTION-quote_nav_tracking-zcom-left_subnav_quote_navbar-detailed_earning_estimates&amp;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2026-08-04T01:27:34Z</dcterms:created>
  <dcterms:modified xsi:type="dcterms:W3CDTF">2026-08-04T01:27:34Z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