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mr-earnings-predictions--2026-08-04"/>
    <w:p>
      <w:pPr>
        <w:pStyle w:val="Heading1"/>
      </w:pPr>
      <w:r>
        <w:t xml:space="preserve">EMR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~$1.70 vs. cons $1.68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sales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~4.6%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orders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~3.8%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~$6.50 midpoint vs. cons $6.51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underlying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~3.0% vs. cons 3.1%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~$3.55B midpoint vs. cons $3.55B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FY2026 Q4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~$1.80 vs. cons $1.84 (FY2026 Q4)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-3.4% (FOLLOW-THROUGH)</w:t>
            </w:r>
          </w:p>
        </w:tc>
        <w:tc>
          <w:tcPr/>
          <w:p>
            <w:pPr>
              <w:pStyle w:val="Compact"/>
            </w:pPr>
            <w:r>
              <w:t xml:space="preserve">A ~$1.70 EPS print versus</w:t>
            </w:r>
            <w:r>
              <w:t xml:space="preserve"> </w:t>
            </w:r>
            <m:oMath>
              <m:r>
                <m:t>1.68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 </m:t>
              </m:r>
              <m:r>
                <m:t>3.8</m:t>
              </m:r>
            </m:oMath>
            <w:r>
              <w:t xml:space="preserve">1.80 implied Q4 EPS versus $1.84 consensus, creating modest out-period estimate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2026-08-04T01:26:42Z</dcterms:created>
  <dcterms:modified xsi:type="dcterms:W3CDTF">2026-08-04T01:26:42Z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