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ecff32e84a4a26674e6dcf9c0cc65cb6ce65660"/>
    <w:p>
      <w:pPr>
        <w:pStyle w:val="Heading1"/>
      </w:pPr>
      <w:r>
        <w:t xml:space="preserve">Emerson Electric (NYSE: EMR) — FY2026 Q3 Earnings Preview</w:t>
      </w:r>
    </w:p>
    <w:p>
      <w:pPr>
        <w:pStyle w:val="BlockText"/>
      </w:pPr>
      <w:r>
        <w:rPr>
          <w:b/>
          <w:bCs/>
        </w:rPr>
        <w:t xml:space="preserve">Timing clarification:</w:t>
      </w:r>
      <w:r>
        <w:t xml:space="preserve"> </w:t>
      </w:r>
      <w:r>
        <w:t xml:space="preserve">The event date supplied is</w:t>
      </w:r>
      <w:r>
        <w:t xml:space="preserve"> </w:t>
      </w:r>
      <w:r>
        <w:rPr>
          <w:b/>
          <w:bCs/>
        </w:rPr>
        <w:t xml:space="preserve">August 4, 2026</w:t>
      </w:r>
      <w:r>
        <w:t xml:space="preserve">, which is</w:t>
      </w:r>
      <w:r>
        <w:t xml:space="preserve"> </w:t>
      </w:r>
      <w:r>
        <w:rPr>
          <w:b/>
          <w:bCs/>
        </w:rPr>
        <w:t xml:space="preserve">today</w:t>
      </w:r>
      <w:r>
        <w:t xml:space="preserve">, not tomorrow, in the current context. This preview therefore reflects the setup immediately ahead of Emerson’s FY2026 third-quarter report/call.</w:t>
      </w:r>
    </w:p>
    <w:bookmarkStart w:id="9" w:name="X998b7f2963d9e7f6766d50238443a781875e39b"/>
    <w:p>
      <w:pPr>
        <w:pStyle w:val="Heading2"/>
      </w:pPr>
      <w:r>
        <w:t xml:space="preserve">Investment view: a guidance-and-execution quarter</w:t>
      </w:r>
    </w:p>
    <w:p>
      <w:pPr>
        <w:pStyle w:val="FirstParagraph"/>
      </w:pPr>
      <w:r>
        <w:t xml:space="preserve">Emerson enters Q3 with a relatively well-defined operating plan: management guided to</w:t>
      </w:r>
      <w:r>
        <w:t xml:space="preserve"> </w:t>
      </w:r>
      <w:r>
        <w:rPr>
          <w:b/>
          <w:bCs/>
        </w:rPr>
        <w:t xml:space="preserve">~5% underlying sales growth</w:t>
      </w:r>
      <w:r>
        <w:t xml:space="preserve">,</w:t>
      </w:r>
      <w:r>
        <w:t xml:space="preserve"> </w:t>
      </w:r>
      <w:r>
        <w:rPr>
          <w:b/>
          <w:bCs/>
        </w:rPr>
        <w:t xml:space="preserve">~28% adjusted segment EBITA margin</w:t>
      </w:r>
      <w:r>
        <w:t xml:space="preserve">, and</w:t>
      </w:r>
      <w:r>
        <w:t xml:space="preserve"> </w:t>
      </w:r>
      <w:r>
        <w:rPr>
          <w:b/>
          <w:bCs/>
        </w:rPr>
        <w:t xml:space="preserve">adjusted EPS of</w:t>
      </w:r>
      <w:r>
        <w:rPr>
          <w:b/>
          <w:bCs/>
        </w:rPr>
        <w:t xml:space="preserve"> </w:t>
      </w:r>
      <m:oMath>
        <m:r>
          <m:t>1.65</m:t>
        </m:r>
        <m:r>
          <m:rPr>
            <m:sty m:val="p"/>
          </m:rPr>
          <m:t>–</m:t>
        </m:r>
      </m:oMath>
      <w:r>
        <w:rPr>
          <w:b/>
          <w:bCs/>
        </w:rPr>
        <w:t xml:space="preserve">1.70</w:t>
      </w:r>
      <w:r>
        <w:t xml:space="preserve">. The headline result matters, but the likely stock drivers are whether the company confirms its second-half ramp, sustains strong orders/backlog, and protects its full-year framework amid Middle East disruption, uneven China demand, tariff/freight pressures, and elevated expectations around power, industrial software, and test &amp; measurement.</w:t>
      </w:r>
    </w:p>
    <w:p>
      <w:pPr>
        <w:pStyle w:val="BodyText"/>
      </w:pPr>
      <w:r>
        <w:t xml:space="preserve">The core bull case remains intact: Emerson is exposed to multi-year investment themes—especially power/grid modernization, LNG, life sciences, semiconductors, and aerospace &amp; defense—while its large installed base supports resilient MRO revenue. The bear case is that Q3’s planned acceleration requires clean project conversion and continued North American strength just as China, Europe, automotive, and parts of the Middle East remain soft.</w:t>
      </w:r>
    </w:p>
    <w:bookmarkEnd w:id="9"/>
    <w:bookmarkStart w:id="10" w:name="what-emerson-has-guided-for-q3"/>
    <w:p>
      <w:pPr>
        <w:pStyle w:val="Heading2"/>
      </w:pPr>
      <w:r>
        <w:t xml:space="preserve">What Emerson has guided for Q3</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FY2026 Q3 guide</w:t>
            </w:r>
          </w:p>
        </w:tc>
        <w:tc>
          <w:tcPr/>
          <w:p>
            <w:pPr>
              <w:pStyle w:val="Compact"/>
              <w:jc w:val="right"/>
            </w:pPr>
            <w:r>
              <w:t xml:space="preserve">FY2025 Q3 actual</w:t>
            </w:r>
          </w:p>
        </w:tc>
        <w:tc>
          <w:tcPr/>
          <w:p>
            <w:pPr>
              <w:pStyle w:val="Compact"/>
            </w:pPr>
            <w:r>
              <w:t xml:space="preserve">Read-through</w:t>
            </w:r>
          </w:p>
        </w:tc>
      </w:tr>
      <w:tr>
        <w:tc>
          <w:tcPr/>
          <w:p>
            <w:pPr>
              <w:pStyle w:val="Compact"/>
            </w:pPr>
            <w:r>
              <w:t xml:space="preserve">Reported sales growth</w:t>
            </w:r>
          </w:p>
        </w:tc>
        <w:tc>
          <w:tcPr/>
          <w:p>
            <w:pPr>
              <w:pStyle w:val="Compact"/>
              <w:jc w:val="right"/>
            </w:pPr>
            <w:r>
              <w:t xml:space="preserve">~5.5%</w:t>
            </w:r>
          </w:p>
        </w:tc>
        <w:tc>
          <w:tcPr/>
          <w:p>
            <w:pPr>
              <w:pStyle w:val="Compact"/>
              <w:jc w:val="right"/>
            </w:pPr>
            <w:r>
              <w:t xml:space="preserve">4%</w:t>
            </w:r>
          </w:p>
        </w:tc>
        <w:tc>
          <w:tcPr/>
          <w:p>
            <w:pPr>
              <w:pStyle w:val="Compact"/>
            </w:pPr>
            <w:r>
              <w:t xml:space="preserve">FX is expected to remain favorable</w:t>
            </w:r>
          </w:p>
        </w:tc>
      </w:tr>
      <w:tr>
        <w:tc>
          <w:tcPr/>
          <w:p>
            <w:pPr>
              <w:pStyle w:val="Compact"/>
            </w:pPr>
            <w:r>
              <w:t xml:space="preserve">Underlying sales growth</w:t>
            </w:r>
          </w:p>
        </w:tc>
        <w:tc>
          <w:tcPr/>
          <w:p>
            <w:pPr>
              <w:pStyle w:val="Compact"/>
              <w:jc w:val="right"/>
            </w:pPr>
            <w:r>
              <w:t xml:space="preserve">~5%</w:t>
            </w:r>
          </w:p>
        </w:tc>
        <w:tc>
          <w:tcPr/>
          <w:p>
            <w:pPr>
              <w:pStyle w:val="Compact"/>
              <w:jc w:val="right"/>
            </w:pPr>
            <w:r>
              <w:t xml:space="preserve">3%</w:t>
            </w:r>
          </w:p>
        </w:tc>
        <w:tc>
          <w:tcPr/>
          <w:p>
            <w:pPr>
              <w:pStyle w:val="Compact"/>
            </w:pPr>
            <w:r>
              <w:t xml:space="preserve">Clear sequential acceleration versus first-half underlying growth</w:t>
            </w:r>
          </w:p>
        </w:tc>
      </w:tr>
      <w:tr>
        <w:tc>
          <w:tcPr/>
          <w:p>
            <w:pPr>
              <w:pStyle w:val="Compact"/>
            </w:pPr>
            <w:r>
              <w:t xml:space="preserve">Adjusted segment EBITA margin</w:t>
            </w:r>
          </w:p>
        </w:tc>
        <w:tc>
          <w:tcPr/>
          <w:p>
            <w:pPr>
              <w:pStyle w:val="Compact"/>
              <w:jc w:val="right"/>
            </w:pPr>
            <w:r>
              <w:t xml:space="preserve">~28%</w:t>
            </w:r>
          </w:p>
        </w:tc>
        <w:tc>
          <w:tcPr/>
          <w:p>
            <w:pPr>
              <w:pStyle w:val="Compact"/>
              <w:jc w:val="right"/>
            </w:pPr>
            <w:r>
              <w:t xml:space="preserve">27.1%</w:t>
            </w:r>
          </w:p>
        </w:tc>
        <w:tc>
          <w:tcPr/>
          <w:p>
            <w:pPr>
              <w:pStyle w:val="Compact"/>
            </w:pPr>
            <w:r>
              <w:t xml:space="preserve">Requires continued pricing/productivity and favorable mix</w:t>
            </w:r>
          </w:p>
        </w:tc>
      </w:tr>
      <w:tr>
        <w:tc>
          <w:tcPr/>
          <w:p>
            <w:pPr>
              <w:pStyle w:val="Compact"/>
            </w:pPr>
            <w:r>
              <w:t xml:space="preserve">Adjusted EPS</w:t>
            </w:r>
          </w:p>
        </w:tc>
        <w:tc>
          <w:tcPr/>
          <w:p>
            <w:pPr>
              <w:pStyle w:val="Compact"/>
              <w:jc w:val="right"/>
            </w:pPr>
            <m:oMath>
              <m:r>
                <m:t>1.65</m:t>
              </m:r>
              <m:r>
                <m:rPr>
                  <m:sty m:val="p"/>
                </m:rPr>
                <m:t>–</m:t>
              </m:r>
            </m:oMath>
            <w:r>
              <w:rPr>
                <w:b/>
                <w:bCs/>
              </w:rPr>
              <w:t xml:space="preserve">1.70</w:t>
            </w:r>
          </w:p>
        </w:tc>
        <w:tc>
          <w:tcPr/>
          <w:p>
            <w:pPr>
              <w:pStyle w:val="Compact"/>
              <w:jc w:val="right"/>
            </w:pPr>
            <w:r>
              <w:t xml:space="preserve">$1.52</w:t>
            </w:r>
          </w:p>
        </w:tc>
        <w:tc>
          <w:tcPr/>
          <w:p>
            <w:pPr>
              <w:pStyle w:val="Compact"/>
            </w:pPr>
            <w:r>
              <w:t xml:space="preserve">Implies roughly 9–12% year-over-year growth</w:t>
            </w:r>
          </w:p>
        </w:tc>
      </w:tr>
      <w:tr>
        <w:tc>
          <w:tcPr/>
          <w:p>
            <w:pPr>
              <w:pStyle w:val="Compact"/>
            </w:pPr>
            <w:r>
              <w:t xml:space="preserve">Full-year adjusted EPS</w:t>
            </w:r>
          </w:p>
        </w:tc>
        <w:tc>
          <w:tcPr/>
          <w:p>
            <w:pPr>
              <w:pStyle w:val="Compact"/>
              <w:jc w:val="right"/>
            </w:pPr>
            <m:oMath>
              <m:r>
                <m:t>6.45</m:t>
              </m:r>
              <m:r>
                <m:rPr>
                  <m:sty m:val="p"/>
                </m:rPr>
                <m:t>–</m:t>
              </m:r>
            </m:oMath>
            <w:r>
              <w:t xml:space="preserve">6.55</w:t>
            </w:r>
          </w:p>
        </w:tc>
        <w:tc>
          <w:tcPr/>
          <w:p>
            <w:pPr>
              <w:pStyle w:val="Compact"/>
              <w:jc w:val="right"/>
            </w:pPr>
            <w:r>
              <w:t xml:space="preserve">—</w:t>
            </w:r>
          </w:p>
        </w:tc>
        <w:tc>
          <w:tcPr/>
          <w:p>
            <w:pPr>
              <w:pStyle w:val="Compact"/>
            </w:pPr>
            <w:r>
              <w:t xml:space="preserve">The most important guidance anchor</w:t>
            </w:r>
          </w:p>
        </w:tc>
      </w:tr>
      <w:tr>
        <w:tc>
          <w:tcPr/>
          <w:p>
            <w:pPr>
              <w:pStyle w:val="Compact"/>
            </w:pPr>
            <w:r>
              <w:t xml:space="preserve">Full-year free cash flow</w:t>
            </w:r>
          </w:p>
        </w:tc>
        <w:tc>
          <w:tcPr/>
          <w:p>
            <w:pPr>
              <w:pStyle w:val="Compact"/>
              <w:jc w:val="right"/>
            </w:pPr>
            <m:oMath>
              <m:r>
                <m:t>3.5</m:t>
              </m:r>
              <m:r>
                <m:t>B</m:t>
              </m:r>
              <m:r>
                <m:rPr>
                  <m:sty m:val="p"/>
                </m:rPr>
                <m:t>–</m:t>
              </m:r>
            </m:oMath>
            <w:r>
              <w:t xml:space="preserve">3.6B</w:t>
            </w:r>
          </w:p>
        </w:tc>
        <w:tc>
          <w:tcPr/>
          <w:p>
            <w:pPr>
              <w:pStyle w:val="Compact"/>
              <w:jc w:val="right"/>
            </w:pPr>
            <w:r>
              <w:t xml:space="preserve">—</w:t>
            </w:r>
          </w:p>
        </w:tc>
        <w:tc>
          <w:tcPr/>
          <w:p>
            <w:pPr>
              <w:pStyle w:val="Compact"/>
            </w:pPr>
            <w:r>
              <w:t xml:space="preserve">Back-half cash conversion must improve materially</w:t>
            </w:r>
          </w:p>
        </w:tc>
      </w:tr>
    </w:tbl>
    <w:p>
      <w:pPr>
        <w:pStyle w:val="BodyText"/>
      </w:pPr>
      <w:r>
        <w:t xml:space="preserve">The Q3 EPS midpoint is</w:t>
      </w:r>
      <w:r>
        <w:t xml:space="preserve"> </w:t>
      </w:r>
      <m:oMath>
        <m:r>
          <m:t>1.675</m:t>
        </m:r>
        <m:r>
          <m:rPr>
            <m:sty m:val="p"/>
          </m:rPr>
          <m:t>*</m:t>
        </m:r>
        <m:r>
          <m:rPr>
            <m:sty m:val="p"/>
          </m:rPr>
          <m:t>*</m:t>
        </m:r>
        <m:r>
          <m:rPr>
            <m:sty m:val="p"/>
          </m:rPr>
          <m:t>,</m:t>
        </m:r>
        <m:r>
          <m:t>a</m:t>
        </m:r>
        <m:r>
          <m:t>b</m:t>
        </m:r>
        <m:r>
          <m:t>o</m:t>
        </m:r>
        <m:r>
          <m:t>u</m:t>
        </m:r>
        <m:r>
          <m:t>t</m:t>
        </m:r>
        <m:r>
          <m:rPr>
            <m:sty m:val="p"/>
          </m:rPr>
          <m:t>*</m:t>
        </m:r>
        <m:r>
          <m:rPr>
            <m:sty m:val="p"/>
          </m:rPr>
          <m:t>*</m:t>
        </m:r>
        <m:r>
          <m:t>10</m:t>
        </m:r>
      </m:oMath>
      <w:r>
        <w:rPr>
          <w:b/>
          <w:bCs/>
        </w:rPr>
        <w:t xml:space="preserve">4.8 billion</w:t>
      </w:r>
      <w:r>
        <w:t xml:space="preserve">, though actual reported sales will depend on currency and mix.</w:t>
      </w:r>
    </w:p>
    <w:bookmarkEnd w:id="10"/>
    <w:bookmarkStart w:id="11" w:name="the-setup-what-has-changed-since-q2"/>
    <w:p>
      <w:pPr>
        <w:pStyle w:val="Heading2"/>
      </w:pPr>
      <w:r>
        <w:t xml:space="preserve">The setup: what has changed since Q2?</w:t>
      </w:r>
    </w:p>
    <w:p>
      <w:pPr>
        <w:pStyle w:val="FirstParagraph"/>
      </w:pPr>
      <w:r>
        <w:t xml:space="preserve">In fiscal Q2, Emerson delivered:</w:t>
      </w:r>
    </w:p>
    <w:p>
      <w:pPr>
        <w:pStyle w:val="Compact"/>
        <w:numPr>
          <w:ilvl w:val="0"/>
          <w:numId w:val="1001"/>
        </w:numPr>
      </w:pPr>
      <w:r>
        <w:rPr>
          <w:b/>
          <w:bCs/>
        </w:rPr>
        <w:t xml:space="preserve">5% underlying orders growth</w:t>
      </w:r>
      <w:r>
        <w:t xml:space="preserve">, a</w:t>
      </w:r>
      <w:r>
        <w:t xml:space="preserve"> </w:t>
      </w:r>
      <w:r>
        <w:rPr>
          <w:b/>
          <w:bCs/>
        </w:rPr>
        <w:t xml:space="preserve">1.07x book-to-bill</w:t>
      </w:r>
      <w:r>
        <w:t xml:space="preserve">, and backlog up</w:t>
      </w:r>
      <w:r>
        <w:t xml:space="preserve"> </w:t>
      </w:r>
      <w:r>
        <w:rPr>
          <w:b/>
          <w:bCs/>
        </w:rPr>
        <w:t xml:space="preserve">9% year over year</w:t>
      </w:r>
      <w:r>
        <w:t xml:space="preserve"> </w:t>
      </w:r>
      <w:r>
        <w:t xml:space="preserve">to</w:t>
      </w:r>
      <w:r>
        <w:t xml:space="preserve"> </w:t>
      </w:r>
      <w:r>
        <w:rPr>
          <w:b/>
          <w:bCs/>
        </w:rPr>
        <w:t xml:space="preserve">$8.2 billion</w:t>
      </w:r>
      <w:r>
        <w:t xml:space="preserve">.</w:t>
      </w:r>
    </w:p>
    <w:p>
      <w:pPr>
        <w:pStyle w:val="Compact"/>
        <w:numPr>
          <w:ilvl w:val="0"/>
          <w:numId w:val="1001"/>
        </w:numPr>
      </w:pPr>
      <w:r>
        <w:t xml:space="preserve">Only</w:t>
      </w:r>
      <w:r>
        <w:t xml:space="preserve"> </w:t>
      </w:r>
      <w:r>
        <w:rPr>
          <w:b/>
          <w:bCs/>
        </w:rPr>
        <w:t xml:space="preserve">0.5% underlying sales growth</w:t>
      </w:r>
      <w:r>
        <w:t xml:space="preserve">, held back by approximately</w:t>
      </w:r>
      <w:r>
        <w:t xml:space="preserve"> </w:t>
      </w:r>
      <w:r>
        <w:rPr>
          <w:b/>
          <w:bCs/>
        </w:rPr>
        <w:t xml:space="preserve">2 points from software-renewal timing</w:t>
      </w:r>
      <w:r>
        <w:t xml:space="preserve"> </w:t>
      </w:r>
      <w:r>
        <w:t xml:space="preserve">and</w:t>
      </w:r>
      <w:r>
        <w:t xml:space="preserve"> </w:t>
      </w:r>
      <w:r>
        <w:rPr>
          <w:b/>
          <w:bCs/>
        </w:rPr>
        <w:t xml:space="preserve">1 point from the Middle East conflict</w:t>
      </w:r>
      <w:r>
        <w:t xml:space="preserve">.</w:t>
      </w:r>
    </w:p>
    <w:p>
      <w:pPr>
        <w:pStyle w:val="Compact"/>
        <w:numPr>
          <w:ilvl w:val="0"/>
          <w:numId w:val="1001"/>
        </w:numPr>
      </w:pPr>
      <w:r>
        <w:rPr>
          <w:b/>
          <w:bCs/>
        </w:rPr>
        <w:t xml:space="preserve">$1.54 adjusted EPS</w:t>
      </w:r>
      <w:r>
        <w:t xml:space="preserve">, near the top of guidance.</w:t>
      </w:r>
    </w:p>
    <w:p>
      <w:pPr>
        <w:pStyle w:val="Compact"/>
        <w:numPr>
          <w:ilvl w:val="0"/>
          <w:numId w:val="1001"/>
        </w:numPr>
      </w:pPr>
      <w:r>
        <w:rPr>
          <w:b/>
          <w:bCs/>
        </w:rPr>
        <w:t xml:space="preserve">27.6% adjusted segment EBITA margin</w:t>
      </w:r>
      <w:r>
        <w:t xml:space="preserve">, despite the subdued top-line result.</w:t>
      </w:r>
    </w:p>
    <w:p>
      <w:pPr>
        <w:pStyle w:val="Compact"/>
        <w:numPr>
          <w:ilvl w:val="0"/>
          <w:numId w:val="1001"/>
        </w:numPr>
      </w:pPr>
      <w:r>
        <w:t xml:space="preserve">Updated FY2026 guidance to</w:t>
      </w:r>
      <w:r>
        <w:t xml:space="preserve"> </w:t>
      </w:r>
      <w:r>
        <w:rPr>
          <w:b/>
          <w:bCs/>
        </w:rPr>
        <w:t xml:space="preserve">~3% underlying sales growth</w:t>
      </w:r>
      <w:r>
        <w:t xml:space="preserve"> </w:t>
      </w:r>
      <w:r>
        <w:t xml:space="preserve">and</w:t>
      </w:r>
      <w:r>
        <w:t xml:space="preserve"> </w:t>
      </w:r>
      <m:oMath>
        <m:r>
          <m:t>6.45</m:t>
        </m:r>
        <m:r>
          <m:rPr>
            <m:sty m:val="p"/>
          </m:rPr>
          <m:t>–</m:t>
        </m:r>
      </m:oMath>
      <w:r>
        <w:rPr>
          <w:b/>
          <w:bCs/>
        </w:rPr>
        <w:t xml:space="preserve">6.55 adjusted EPS</w:t>
      </w:r>
      <w:r>
        <w:t xml:space="preserve">, while retaining an approximately</w:t>
      </w:r>
      <w:r>
        <w:t xml:space="preserve"> </w:t>
      </w:r>
      <w:r>
        <w:rPr>
          <w:b/>
          <w:bCs/>
        </w:rPr>
        <w:t xml:space="preserve">28% adjusted segment EBITA margin</w:t>
      </w:r>
      <w:r>
        <w:t xml:space="preserve"> </w:t>
      </w:r>
      <w:r>
        <w:t xml:space="preserve">outlook.</w:t>
      </w:r>
    </w:p>
    <w:p>
      <w:pPr>
        <w:pStyle w:val="FirstParagraph"/>
      </w:pPr>
      <w:r>
        <w:t xml:space="preserve">The key implication: management has already acknowledged the near-term disruptions. Q3 is supposed to demonstrate that the backlog, project funnel, growth-vertical demand, and improving Middle East activity can translate into the expected step-up in revenue and earnings.</w:t>
      </w:r>
    </w:p>
    <w:bookmarkEnd w:id="11"/>
    <w:bookmarkStart w:id="17" w:name="what-matters-most-in-the-print"/>
    <w:p>
      <w:pPr>
        <w:pStyle w:val="Heading2"/>
      </w:pPr>
      <w:r>
        <w:t xml:space="preserve">What matters most in the print</w:t>
      </w:r>
    </w:p>
    <w:bookmarkStart w:id="12" w:name="X6197ede17fca0ab6288bdccc7070061125b807b"/>
    <w:p>
      <w:pPr>
        <w:pStyle w:val="Heading3"/>
      </w:pPr>
      <w:r>
        <w:t xml:space="preserve">1. Orders, backlog, and the credibility of the second-half ramp</w:t>
      </w:r>
    </w:p>
    <w:p>
      <w:pPr>
        <w:pStyle w:val="FirstParagraph"/>
      </w:pPr>
      <w:r>
        <w:t xml:space="preserve">Orders are arguably the most important metric. Emerson’s second-half plan relies on converting backlog and maintaining healthy demand in its targeted growth verticals. Investors should look for:</w:t>
      </w:r>
    </w:p>
    <w:p>
      <w:pPr>
        <w:pStyle w:val="Compact"/>
        <w:numPr>
          <w:ilvl w:val="0"/>
          <w:numId w:val="1002"/>
        </w:numPr>
      </w:pPr>
      <w:r>
        <w:t xml:space="preserve">Underlying orders sustaining at least</w:t>
      </w:r>
      <w:r>
        <w:t xml:space="preserve"> </w:t>
      </w:r>
      <w:r>
        <w:rPr>
          <w:b/>
          <w:bCs/>
        </w:rPr>
        <w:t xml:space="preserve">mid-single-digit growth</w:t>
      </w:r>
      <w:r>
        <w:t xml:space="preserve">.</w:t>
      </w:r>
    </w:p>
    <w:p>
      <w:pPr>
        <w:pStyle w:val="Compact"/>
        <w:numPr>
          <w:ilvl w:val="0"/>
          <w:numId w:val="1002"/>
        </w:numPr>
      </w:pPr>
      <w:r>
        <w:t xml:space="preserve">Book-to-bill at or above 1.0x.</w:t>
      </w:r>
    </w:p>
    <w:p>
      <w:pPr>
        <w:pStyle w:val="Compact"/>
        <w:numPr>
          <w:ilvl w:val="0"/>
          <w:numId w:val="1002"/>
        </w:numPr>
      </w:pPr>
      <w:r>
        <w:t xml:space="preserve">Continued backlog growth, or at minimum evidence that backlog is converting as expected.</w:t>
      </w:r>
    </w:p>
    <w:p>
      <w:pPr>
        <w:pStyle w:val="Compact"/>
        <w:numPr>
          <w:ilvl w:val="0"/>
          <w:numId w:val="1002"/>
        </w:numPr>
      </w:pPr>
      <w:r>
        <w:t xml:space="preserve">Commentary on the</w:t>
      </w:r>
      <w:r>
        <w:t xml:space="preserve"> </w:t>
      </w:r>
      <w:r>
        <w:rPr>
          <w:b/>
          <w:bCs/>
        </w:rPr>
        <w:t xml:space="preserve">$11.2 billion project funnel</w:t>
      </w:r>
      <w:r>
        <w:t xml:space="preserve">, especially power-related opportunities.</w:t>
      </w:r>
    </w:p>
    <w:p>
      <w:pPr>
        <w:pStyle w:val="FirstParagraph"/>
      </w:pPr>
      <w:r>
        <w:t xml:space="preserve">Management previously said it saw mid-single-digit order growth as sustainable into the balance of FY2026, with momentum positioning the company for the first half of FY2027. A meaningful deceleration would undermine that thesis.</w:t>
      </w:r>
    </w:p>
    <w:bookmarkEnd w:id="12"/>
    <w:bookmarkStart w:id="13" w:name="X525c715f8752467f727d3e0db940d5107af2cb1"/>
    <w:p>
      <w:pPr>
        <w:pStyle w:val="Heading3"/>
      </w:pPr>
      <w:r>
        <w:t xml:space="preserve">2. Power remains the centerpiece</w:t>
      </w:r>
    </w:p>
    <w:p>
      <w:pPr>
        <w:pStyle w:val="FirstParagraph"/>
      </w:pPr>
      <w:r>
        <w:t xml:space="preserve">Power is Emerson’s most important secular demand vector. In Q2, power-related orders rose</w:t>
      </w:r>
      <w:r>
        <w:t xml:space="preserve"> </w:t>
      </w:r>
      <w:r>
        <w:rPr>
          <w:b/>
          <w:bCs/>
        </w:rPr>
        <w:t xml:space="preserve">23%</w:t>
      </w:r>
      <w:r>
        <w:t xml:space="preserve">, Ovation orders increased</w:t>
      </w:r>
      <w:r>
        <w:t xml:space="preserve"> </w:t>
      </w:r>
      <w:r>
        <w:rPr>
          <w:b/>
          <w:bCs/>
        </w:rPr>
        <w:t xml:space="preserve">41%</w:t>
      </w:r>
      <w:r>
        <w:t xml:space="preserve">, and AspenTech digital-grid-management ACV grew</w:t>
      </w:r>
      <w:r>
        <w:t xml:space="preserve"> </w:t>
      </w:r>
      <w:r>
        <w:rPr>
          <w:b/>
          <w:bCs/>
        </w:rPr>
        <w:t xml:space="preserve">31%</w:t>
      </w:r>
      <w:r>
        <w:t xml:space="preserve">. Emerson cited demand tied to grid modernization, plant life extensions, behind-the-meter generation, and data-center-related power needs.</w:t>
      </w:r>
    </w:p>
    <w:p>
      <w:pPr>
        <w:pStyle w:val="BodyText"/>
      </w:pPr>
      <w:r>
        <w:t xml:space="preserve">For Q3, investors should focus on:</w:t>
      </w:r>
    </w:p>
    <w:p>
      <w:pPr>
        <w:pStyle w:val="Compact"/>
        <w:numPr>
          <w:ilvl w:val="0"/>
          <w:numId w:val="1003"/>
        </w:numPr>
      </w:pPr>
      <w:r>
        <w:t xml:space="preserve">Progress in utility transmission/distribution and grid software.</w:t>
      </w:r>
    </w:p>
    <w:p>
      <w:pPr>
        <w:pStyle w:val="Compact"/>
        <w:numPr>
          <w:ilvl w:val="0"/>
          <w:numId w:val="1003"/>
        </w:numPr>
      </w:pPr>
      <w:r>
        <w:t xml:space="preserve">Whether greenfield power and behind-the-meter projects are becoming more meaningful.</w:t>
      </w:r>
    </w:p>
    <w:p>
      <w:pPr>
        <w:pStyle w:val="Compact"/>
        <w:numPr>
          <w:ilvl w:val="0"/>
          <w:numId w:val="1003"/>
        </w:numPr>
      </w:pPr>
      <w:r>
        <w:t xml:space="preserve">Conversion of power-related projects into revenue, particularly across control systems, valves, instruments, and digital-grid software.</w:t>
      </w:r>
    </w:p>
    <w:p>
      <w:pPr>
        <w:pStyle w:val="Compact"/>
        <w:numPr>
          <w:ilvl w:val="0"/>
          <w:numId w:val="1003"/>
        </w:numPr>
      </w:pPr>
      <w:r>
        <w:t xml:space="preserve">Any change in data-center-related infrastructure demand.</w:t>
      </w:r>
    </w:p>
    <w:p>
      <w:pPr>
        <w:pStyle w:val="FirstParagraph"/>
      </w:pPr>
      <w:r>
        <w:t xml:space="preserve">A robust update here would reinforce the long-duration growth narrative rather than simply support one quarter’s numbers.</w:t>
      </w:r>
    </w:p>
    <w:bookmarkEnd w:id="13"/>
    <w:bookmarkStart w:id="14" w:name="Xbf5e50c50d9cbcadecd7af847d17cc9022429c2"/>
    <w:p>
      <w:pPr>
        <w:pStyle w:val="Heading3"/>
      </w:pPr>
      <w:r>
        <w:t xml:space="preserve">3. Software &amp; Systems: recovery from renewal timing, plus Test &amp; Measurement durability</w:t>
      </w:r>
    </w:p>
    <w:p>
      <w:pPr>
        <w:pStyle w:val="FirstParagraph"/>
      </w:pPr>
      <w:r>
        <w:t xml:space="preserve">Software &amp; Systems was held back in Q2 by a</w:t>
      </w:r>
      <w:r>
        <w:t xml:space="preserve"> </w:t>
      </w:r>
      <w:r>
        <w:rPr>
          <w:b/>
          <w:bCs/>
        </w:rPr>
        <w:t xml:space="preserve">4.5-point sales drag from software contract-renewal timing</w:t>
      </w:r>
      <w:r>
        <w:t xml:space="preserve">. Management’s Q3 plan calls for</w:t>
      </w:r>
      <w:r>
        <w:t xml:space="preserve"> </w:t>
      </w:r>
      <w:r>
        <w:rPr>
          <w:b/>
          <w:bCs/>
        </w:rPr>
        <w:t xml:space="preserve">~8% underlying growth</w:t>
      </w:r>
      <w:r>
        <w:t xml:space="preserve"> </w:t>
      </w:r>
      <w:r>
        <w:t xml:space="preserve">in the group, comprising:</w:t>
      </w:r>
    </w:p>
    <w:p>
      <w:pPr>
        <w:pStyle w:val="Compact"/>
        <w:numPr>
          <w:ilvl w:val="0"/>
          <w:numId w:val="1004"/>
        </w:numPr>
      </w:pPr>
      <w:r>
        <w:rPr>
          <w:b/>
          <w:bCs/>
        </w:rPr>
        <w:t xml:space="preserve">Mid-single-digit growth</w:t>
      </w:r>
      <w:r>
        <w:t xml:space="preserve"> </w:t>
      </w:r>
      <w:r>
        <w:t xml:space="preserve">in Control Systems &amp; Software.</w:t>
      </w:r>
    </w:p>
    <w:p>
      <w:pPr>
        <w:pStyle w:val="Compact"/>
        <w:numPr>
          <w:ilvl w:val="0"/>
          <w:numId w:val="1004"/>
        </w:numPr>
      </w:pPr>
      <w:r>
        <w:rPr>
          <w:b/>
          <w:bCs/>
        </w:rPr>
        <w:t xml:space="preserve">Mid-teens growth</w:t>
      </w:r>
      <w:r>
        <w:t xml:space="preserve"> </w:t>
      </w:r>
      <w:r>
        <w:t xml:space="preserve">in Test &amp; Measurement.</w:t>
      </w:r>
    </w:p>
    <w:p>
      <w:pPr>
        <w:pStyle w:val="FirstParagraph"/>
      </w:pPr>
      <w:r>
        <w:t xml:space="preserve">That makes this Emerson’s most consequential segment for the Q3 beat/miss.</w:t>
      </w:r>
    </w:p>
    <w:p>
      <w:pPr>
        <w:pStyle w:val="BodyText"/>
      </w:pPr>
      <w:r>
        <w:t xml:space="preserve">Within the segment, the highest-value questions are:</w:t>
      </w:r>
    </w:p>
    <w:p>
      <w:pPr>
        <w:pStyle w:val="Compact"/>
        <w:numPr>
          <w:ilvl w:val="0"/>
          <w:numId w:val="1005"/>
        </w:numPr>
      </w:pPr>
      <w:r>
        <w:t xml:space="preserve">Is the software-renewal headwind now largely behind the company?</w:t>
      </w:r>
    </w:p>
    <w:p>
      <w:pPr>
        <w:pStyle w:val="Compact"/>
        <w:numPr>
          <w:ilvl w:val="0"/>
          <w:numId w:val="1005"/>
        </w:numPr>
      </w:pPr>
      <w:r>
        <w:t xml:space="preserve">Does AspenTech annual contract value remain on track to grow</w:t>
      </w:r>
      <w:r>
        <w:t xml:space="preserve"> </w:t>
      </w:r>
      <w:r>
        <w:rPr>
          <w:b/>
          <w:bCs/>
        </w:rPr>
        <w:t xml:space="preserve">10%+</w:t>
      </w:r>
      <w:r>
        <w:t xml:space="preserve"> </w:t>
      </w:r>
      <w:r>
        <w:t xml:space="preserve">for FY2026?</w:t>
      </w:r>
    </w:p>
    <w:p>
      <w:pPr>
        <w:pStyle w:val="Compact"/>
        <w:numPr>
          <w:ilvl w:val="0"/>
          <w:numId w:val="1005"/>
        </w:numPr>
      </w:pPr>
      <w:r>
        <w:t xml:space="preserve">Can Test &amp; Measurement sustain double-digit growth in semiconductors and aerospace &amp; defense?</w:t>
      </w:r>
    </w:p>
    <w:p>
      <w:pPr>
        <w:pStyle w:val="Compact"/>
        <w:numPr>
          <w:ilvl w:val="0"/>
          <w:numId w:val="1005"/>
        </w:numPr>
      </w:pPr>
      <w:r>
        <w:t xml:space="preserve">Is industrial AI generating measurable orders or ACV, rather than only customer interest and product positioning?</w:t>
      </w:r>
    </w:p>
    <w:p>
      <w:pPr>
        <w:pStyle w:val="FirstParagraph"/>
      </w:pPr>
      <w:r>
        <w:t xml:space="preserve">Management has been clear that AI is not yet a meaningful FY2026 revenue contributor. The more relevant near-term issue is whether AI functionality strengthens Emerson’s competitive differentiation and pricing in automation, optimization, and testing workflows.</w:t>
      </w:r>
    </w:p>
    <w:bookmarkEnd w:id="14"/>
    <w:bookmarkStart w:id="15" w:name="X329c69fc38323acda359d2ab6c7de26961c0edb"/>
    <w:p>
      <w:pPr>
        <w:pStyle w:val="Heading3"/>
      </w:pPr>
      <w:r>
        <w:t xml:space="preserve">4. Intelligent Devices must rebound despite geographic crosscurrents</w:t>
      </w:r>
    </w:p>
    <w:p>
      <w:pPr>
        <w:pStyle w:val="FirstParagraph"/>
      </w:pPr>
      <w:r>
        <w:t xml:space="preserve">Intelligent Devices was the main Q2 weak spot: underlying sales declined</w:t>
      </w:r>
      <w:r>
        <w:t xml:space="preserve"> </w:t>
      </w:r>
      <w:r>
        <w:rPr>
          <w:b/>
          <w:bCs/>
        </w:rPr>
        <w:t xml:space="preserve">1%</w:t>
      </w:r>
      <w:r>
        <w:t xml:space="preserve">, including an estimated</w:t>
      </w:r>
      <w:r>
        <w:t xml:space="preserve"> </w:t>
      </w:r>
      <w:r>
        <w:rPr>
          <w:b/>
          <w:bCs/>
        </w:rPr>
        <w:t xml:space="preserve">2-point Middle East impact</w:t>
      </w:r>
      <w:r>
        <w:t xml:space="preserve">. Management guides the group to</w:t>
      </w:r>
      <w:r>
        <w:t xml:space="preserve"> </w:t>
      </w:r>
      <w:r>
        <w:rPr>
          <w:b/>
          <w:bCs/>
        </w:rPr>
        <w:t xml:space="preserve">~4% underlying growth in Q3</w:t>
      </w:r>
      <w:r>
        <w:t xml:space="preserve">, driven by backlog phasing, U.S. strength, and growth verticals.</w:t>
      </w:r>
    </w:p>
    <w:p>
      <w:pPr>
        <w:pStyle w:val="BodyText"/>
      </w:pPr>
      <w:r>
        <w:t xml:space="preserve">The challenge is that the group remains exposed to weaker markets:</w:t>
      </w:r>
    </w:p>
    <w:p>
      <w:pPr>
        <w:pStyle w:val="Compact"/>
        <w:numPr>
          <w:ilvl w:val="0"/>
          <w:numId w:val="1006"/>
        </w:numPr>
      </w:pPr>
      <w:r>
        <w:rPr>
          <w:b/>
          <w:bCs/>
        </w:rPr>
        <w:t xml:space="preserve">China:</w:t>
      </w:r>
      <w:r>
        <w:t xml:space="preserve"> </w:t>
      </w:r>
      <w:r>
        <w:t xml:space="preserve">management expects FY2026 China sales to decline by the</w:t>
      </w:r>
      <w:r>
        <w:t xml:space="preserve"> </w:t>
      </w:r>
      <w:r>
        <w:rPr>
          <w:b/>
          <w:bCs/>
        </w:rPr>
        <w:t xml:space="preserve">mid-single digits</w:t>
      </w:r>
      <w:r>
        <w:t xml:space="preserve">, with chemicals especially weak amid overcapacity.</w:t>
      </w:r>
    </w:p>
    <w:p>
      <w:pPr>
        <w:pStyle w:val="Compact"/>
        <w:numPr>
          <w:ilvl w:val="0"/>
          <w:numId w:val="1006"/>
        </w:numPr>
      </w:pPr>
      <w:r>
        <w:rPr>
          <w:b/>
          <w:bCs/>
        </w:rPr>
        <w:t xml:space="preserve">Europe:</w:t>
      </w:r>
      <w:r>
        <w:t xml:space="preserve"> </w:t>
      </w:r>
      <w:r>
        <w:t xml:space="preserve">demand remains soft.</w:t>
      </w:r>
    </w:p>
    <w:p>
      <w:pPr>
        <w:pStyle w:val="Compact"/>
        <w:numPr>
          <w:ilvl w:val="0"/>
          <w:numId w:val="1006"/>
        </w:numPr>
      </w:pPr>
      <w:r>
        <w:rPr>
          <w:b/>
          <w:bCs/>
        </w:rPr>
        <w:t xml:space="preserve">Middle East:</w:t>
      </w:r>
      <w:r>
        <w:t xml:space="preserve"> </w:t>
      </w:r>
      <w:r>
        <w:t xml:space="preserve">operating conditions and logistics have improved, but conditions remain uncertain.</w:t>
      </w:r>
    </w:p>
    <w:p>
      <w:pPr>
        <w:pStyle w:val="Compact"/>
        <w:numPr>
          <w:ilvl w:val="0"/>
          <w:numId w:val="1006"/>
        </w:numPr>
      </w:pPr>
      <w:r>
        <w:rPr>
          <w:b/>
          <w:bCs/>
        </w:rPr>
        <w:t xml:space="preserve">Automotive:</w:t>
      </w:r>
      <w:r>
        <w:t xml:space="preserve"> </w:t>
      </w:r>
      <w:r>
        <w:t xml:space="preserve">remains weak, particularly in Europe.</w:t>
      </w:r>
    </w:p>
    <w:p>
      <w:pPr>
        <w:pStyle w:val="FirstParagraph"/>
      </w:pPr>
      <w:r>
        <w:t xml:space="preserve">A clean Q3 recovery in Sensors and Final Control would validate management’s second-half plan. Conversely, further volume weakness could pressure the group’s attractive margin profile.</w:t>
      </w:r>
    </w:p>
    <w:bookmarkEnd w:id="15"/>
    <w:bookmarkStart w:id="16" w:name="Xbaa2b6845699f367c45c188577bc2b84d362b8a"/>
    <w:p>
      <w:pPr>
        <w:pStyle w:val="Heading3"/>
      </w:pPr>
      <w:r>
        <w:t xml:space="preserve">5. Margin defense and tariff/freight exposure</w:t>
      </w:r>
    </w:p>
    <w:p>
      <w:pPr>
        <w:pStyle w:val="FirstParagraph"/>
      </w:pPr>
      <w:r>
        <w:t xml:space="preserve">Emerson’s profitability has held up well. In Q2, price/cost, productivity, and mix more than offset inflation, supporting a</w:t>
      </w:r>
      <w:r>
        <w:t xml:space="preserve"> </w:t>
      </w:r>
      <w:r>
        <w:rPr>
          <w:b/>
          <w:bCs/>
        </w:rPr>
        <w:t xml:space="preserve">27.6%</w:t>
      </w:r>
      <w:r>
        <w:t xml:space="preserve"> </w:t>
      </w:r>
      <w:r>
        <w:t xml:space="preserve">adjusted segment EBITA margin. Q3 guidance implies a further step-up to approximately</w:t>
      </w:r>
      <w:r>
        <w:t xml:space="preserve"> </w:t>
      </w:r>
      <w:r>
        <w:rPr>
          <w:b/>
          <w:bCs/>
        </w:rPr>
        <w:t xml:space="preserve">28%</w:t>
      </w:r>
      <w:r>
        <w:t xml:space="preserve">.</w:t>
      </w:r>
    </w:p>
    <w:p>
      <w:pPr>
        <w:pStyle w:val="BodyText"/>
      </w:pPr>
      <w:r>
        <w:t xml:space="preserve">Watch for:</w:t>
      </w:r>
    </w:p>
    <w:p>
      <w:pPr>
        <w:pStyle w:val="Compact"/>
        <w:numPr>
          <w:ilvl w:val="0"/>
          <w:numId w:val="1007"/>
        </w:numPr>
      </w:pPr>
      <w:r>
        <w:t xml:space="preserve">Whether price continues to cover tariffs, inflation, and freight without materially hurting volumes.</w:t>
      </w:r>
    </w:p>
    <w:p>
      <w:pPr>
        <w:pStyle w:val="Compact"/>
        <w:numPr>
          <w:ilvl w:val="0"/>
          <w:numId w:val="1007"/>
        </w:numPr>
      </w:pPr>
      <w:r>
        <w:t xml:space="preserve">Margin effect from a higher share of project deliveries, which can be less favorable mix.</w:t>
      </w:r>
    </w:p>
    <w:p>
      <w:pPr>
        <w:pStyle w:val="Compact"/>
        <w:numPr>
          <w:ilvl w:val="0"/>
          <w:numId w:val="1007"/>
        </w:numPr>
      </w:pPr>
      <w:r>
        <w:t xml:space="preserve">The degree to which rising volumes offset potential mix and logistics pressure.</w:t>
      </w:r>
    </w:p>
    <w:p>
      <w:pPr>
        <w:pStyle w:val="Compact"/>
        <w:numPr>
          <w:ilvl w:val="0"/>
          <w:numId w:val="1007"/>
        </w:numPr>
      </w:pPr>
      <w:r>
        <w:t xml:space="preserve">Any change in corporate cost, restructuring, or interest expense assumptions.</w:t>
      </w:r>
    </w:p>
    <w:p>
      <w:pPr>
        <w:pStyle w:val="FirstParagraph"/>
      </w:pPr>
      <w:r>
        <w:t xml:space="preserve">Management’s prior outlook assumed a</w:t>
      </w:r>
      <w:r>
        <w:t xml:space="preserve"> </w:t>
      </w:r>
      <w:r>
        <w:rPr>
          <w:b/>
          <w:bCs/>
        </w:rPr>
        <w:t xml:space="preserve">net-neutral tariff effect</w:t>
      </w:r>
      <w:r>
        <w:t xml:space="preserve">: the benefit from removal of IEEPA tariffs offset by Section 122/232 tariffs and freight costs. It also excluded any potential tariff-refund benefit. Any revised outlook or recognition of refunds could become an incremental earnings variable, but investors should not underwrite it absent formal company guidance.</w:t>
      </w:r>
    </w:p>
    <w:bookmarkEnd w:id="16"/>
    <w:bookmarkEnd w:id="17"/>
    <w:bookmarkStart w:id="18" w:name="Xc155be048ece1d5866c73a0cb80ea3be7cabb87"/>
    <w:p>
      <w:pPr>
        <w:pStyle w:val="Heading2"/>
      </w:pPr>
      <w:r>
        <w:t xml:space="preserve">Middle East: risk near term, potential opportunity later</w:t>
      </w:r>
    </w:p>
    <w:p>
      <w:pPr>
        <w:pStyle w:val="FirstParagraph"/>
      </w:pPr>
      <w:r>
        <w:t xml:space="preserve">The Middle East remains the largest source of uncertainty, but it also creates potential future demand. Emerson has approximately</w:t>
      </w:r>
      <w:r>
        <w:t xml:space="preserve"> </w:t>
      </w:r>
      <w:r>
        <w:rPr>
          <w:b/>
          <w:bCs/>
        </w:rPr>
        <w:t xml:space="preserve">$1.2 billion of regional sales</w:t>
      </w:r>
      <w:r>
        <w:t xml:space="preserve">, or about</w:t>
      </w:r>
      <w:r>
        <w:t xml:space="preserve"> </w:t>
      </w:r>
      <w:r>
        <w:rPr>
          <w:b/>
          <w:bCs/>
        </w:rPr>
        <w:t xml:space="preserve">7% of company sales</w:t>
      </w:r>
      <w:r>
        <w:t xml:space="preserve">, and estimated:</w:t>
      </w:r>
    </w:p>
    <w:p>
      <w:pPr>
        <w:pStyle w:val="Compact"/>
        <w:numPr>
          <w:ilvl w:val="0"/>
          <w:numId w:val="1008"/>
        </w:numPr>
      </w:pPr>
      <w:r>
        <w:t xml:space="preserve">A</w:t>
      </w:r>
      <w:r>
        <w:t xml:space="preserve"> </w:t>
      </w:r>
      <w:r>
        <w:rPr>
          <w:b/>
          <w:bCs/>
        </w:rPr>
        <w:t xml:space="preserve">$50 million</w:t>
      </w:r>
      <w:r>
        <w:t xml:space="preserve"> </w:t>
      </w:r>
      <w:r>
        <w:t xml:space="preserve">Q2 disruption;</w:t>
      </w:r>
    </w:p>
    <w:p>
      <w:pPr>
        <w:pStyle w:val="Compact"/>
        <w:numPr>
          <w:ilvl w:val="0"/>
          <w:numId w:val="1008"/>
        </w:numPr>
      </w:pPr>
      <w:r>
        <w:t xml:space="preserve">Roughly</w:t>
      </w:r>
      <w:r>
        <w:t xml:space="preserve"> </w:t>
      </w:r>
      <w:r>
        <w:rPr>
          <w:b/>
          <w:bCs/>
        </w:rPr>
        <w:t xml:space="preserve">$100 million</w:t>
      </w:r>
      <w:r>
        <w:t xml:space="preserve"> </w:t>
      </w:r>
      <w:r>
        <w:t xml:space="preserve">of additional second-half disruption embedded in its outlook;</w:t>
      </w:r>
    </w:p>
    <w:p>
      <w:pPr>
        <w:pStyle w:val="Compact"/>
        <w:numPr>
          <w:ilvl w:val="0"/>
          <w:numId w:val="1008"/>
        </w:numPr>
      </w:pPr>
      <w:r>
        <w:t xml:space="preserve">Approximately</w:t>
      </w:r>
      <w:r>
        <w:t xml:space="preserve"> </w:t>
      </w:r>
      <w:r>
        <w:rPr>
          <w:b/>
          <w:bCs/>
        </w:rPr>
        <w:t xml:space="preserve">$100 million</w:t>
      </w:r>
      <w:r>
        <w:t xml:space="preserve"> </w:t>
      </w:r>
      <w:r>
        <w:t xml:space="preserve">in near-term rebuild/restart opportunity over several quarters, with longer-term upside not yet quantified.</w:t>
      </w:r>
    </w:p>
    <w:p>
      <w:pPr>
        <w:pStyle w:val="FirstParagraph"/>
      </w:pPr>
      <w:r>
        <w:t xml:space="preserve">The Q3 call should clarify whether site activity, logistics, field-service capacity, and MRO/project work continue to normalize. A better-than-expected recovery could support upside to revenue timing; renewed disruption would place the full-year sales guide at risk.</w:t>
      </w:r>
    </w:p>
    <w:bookmarkEnd w:id="18"/>
    <w:bookmarkStart w:id="19" w:name="cash-flow-and-capital-allocation"/>
    <w:p>
      <w:pPr>
        <w:pStyle w:val="Heading2"/>
      </w:pPr>
      <w:r>
        <w:t xml:space="preserve">Cash flow and capital allocation</w:t>
      </w:r>
    </w:p>
    <w:p>
      <w:pPr>
        <w:pStyle w:val="FirstParagraph"/>
      </w:pPr>
      <w:r>
        <w:t xml:space="preserve">Cash conversion is a secondary—but important—watch item. Emerson reaffirmed FY2026 operating cash flow of</w:t>
      </w:r>
      <w:r>
        <w:t xml:space="preserve"> </w:t>
      </w:r>
      <m:oMath>
        <m:r>
          <m:t>4.0</m:t>
        </m:r>
        <m:r>
          <m:t>B</m:t>
        </m:r>
        <m:r>
          <m:rPr>
            <m:sty m:val="p"/>
          </m:rPr>
          <m:t>–</m:t>
        </m:r>
      </m:oMath>
      <w:r>
        <w:rPr>
          <w:b/>
          <w:bCs/>
        </w:rPr>
        <w:t xml:space="preserve">4.1B</w:t>
      </w:r>
      <w:r>
        <w:t xml:space="preserve"> </w:t>
      </w:r>
      <w:r>
        <w:t xml:space="preserve">and free cash flow of</w:t>
      </w:r>
      <w:r>
        <w:t xml:space="preserve"> </w:t>
      </w:r>
      <m:oMath>
        <m:r>
          <m:t>3.5</m:t>
        </m:r>
        <m:r>
          <m:t>B</m:t>
        </m:r>
        <m:r>
          <m:rPr>
            <m:sty m:val="p"/>
          </m:rPr>
          <m:t>–</m:t>
        </m:r>
      </m:oMath>
      <w:r>
        <w:rPr>
          <w:b/>
          <w:bCs/>
        </w:rPr>
        <w:t xml:space="preserve">3.6B</w:t>
      </w:r>
      <w:r>
        <w:t xml:space="preserve">. First-half free cash flow was only</w:t>
      </w:r>
      <w:r>
        <w:t xml:space="preserve"> </w:t>
      </w:r>
      <w:r>
        <w:rPr>
          <w:b/>
          <w:bCs/>
        </w:rPr>
        <w:t xml:space="preserve">$1.296B</w:t>
      </w:r>
      <w:r>
        <w:t xml:space="preserve">, depressed by working-capital investment, tax timing, and the setup for stronger second-half shipments.</w:t>
      </w:r>
    </w:p>
    <w:p>
      <w:pPr>
        <w:pStyle w:val="BodyText"/>
      </w:pPr>
      <w:r>
        <w:t xml:space="preserve">Management expects to return about</w:t>
      </w:r>
      <w:r>
        <w:t xml:space="preserve"> </w:t>
      </w:r>
      <m:oMath>
        <m:r>
          <m:t>2.2</m:t>
        </m:r>
        <m:r>
          <m:t>B</m:t>
        </m:r>
        <m:r>
          <m:rPr>
            <m:sty m:val="p"/>
          </m:rPr>
          <m:t>*</m:t>
        </m:r>
        <m:r>
          <m:rPr>
            <m:sty m:val="p"/>
          </m:rPr>
          <m:t>*</m:t>
        </m:r>
        <m:r>
          <m:t>t</m:t>
        </m:r>
        <m:r>
          <m:t>o</m:t>
        </m:r>
        <m:r>
          <m:t>s</m:t>
        </m:r>
        <m:r>
          <m:t>h</m:t>
        </m:r>
        <m:r>
          <m:t>a</m:t>
        </m:r>
        <m:r>
          <m:t>r</m:t>
        </m:r>
        <m:r>
          <m:t>e</m:t>
        </m:r>
        <m:r>
          <m:t>h</m:t>
        </m:r>
        <m:r>
          <m:t>o</m:t>
        </m:r>
        <m:r>
          <m:t>l</m:t>
        </m:r>
        <m:r>
          <m:t>d</m:t>
        </m:r>
        <m:r>
          <m:t>e</m:t>
        </m:r>
        <m:r>
          <m:t>r</m:t>
        </m:r>
        <m:r>
          <m:t>s</m:t>
        </m:r>
        <m:r>
          <m:t>i</m:t>
        </m:r>
        <m:r>
          <m:t>n</m:t>
        </m:r>
        <m:r>
          <m:t>F</m:t>
        </m:r>
        <m:r>
          <m:t>Y</m:t>
        </m:r>
        <m:r>
          <m:t>2026</m:t>
        </m:r>
        <m:r>
          <m:rPr>
            <m:sty m:val="p"/>
          </m:rPr>
          <m:t>,</m:t>
        </m:r>
        <m:r>
          <m:t>i</m:t>
        </m:r>
        <m:r>
          <m:t>n</m:t>
        </m:r>
        <m:r>
          <m:t>c</m:t>
        </m:r>
        <m:r>
          <m:t>l</m:t>
        </m:r>
        <m:r>
          <m:t>u</m:t>
        </m:r>
        <m:r>
          <m:t>d</m:t>
        </m:r>
        <m:r>
          <m:t>i</m:t>
        </m:r>
        <m:r>
          <m:t>n</m:t>
        </m:r>
        <m:r>
          <m:t>g</m:t>
        </m:r>
        <m:r>
          <m:t>a</m:t>
        </m:r>
        <m:r>
          <m:t>p</m:t>
        </m:r>
        <m:r>
          <m:t>p</m:t>
        </m:r>
        <m:r>
          <m:t>r</m:t>
        </m:r>
        <m:r>
          <m:t>o</m:t>
        </m:r>
        <m:r>
          <m:t>x</m:t>
        </m:r>
        <m:r>
          <m:t>i</m:t>
        </m:r>
        <m:r>
          <m:t>m</m:t>
        </m:r>
        <m:r>
          <m:t>a</m:t>
        </m:r>
        <m:r>
          <m:t>t</m:t>
        </m:r>
        <m:r>
          <m:t>e</m:t>
        </m:r>
        <m:r>
          <m:t>l</m:t>
        </m:r>
        <m:r>
          <m:t>y</m:t>
        </m:r>
        <m:r>
          <m:rPr>
            <m:sty m:val="p"/>
          </m:rPr>
          <m:t>*</m:t>
        </m:r>
        <m:r>
          <m:rPr>
            <m:sty m:val="p"/>
          </m:rPr>
          <m:t>*</m:t>
        </m:r>
      </m:oMath>
      <w:r>
        <w:rPr>
          <w:b/>
          <w:bCs/>
        </w:rPr>
        <w:t xml:space="preserve">1.2B of dividends</w:t>
      </w:r>
      <w:r>
        <w:t xml:space="preserve"> </w:t>
      </w:r>
      <w:r>
        <w:t xml:space="preserve">and</w:t>
      </w:r>
      <w:r>
        <w:t xml:space="preserve"> </w:t>
      </w:r>
      <m:oMath>
        <m:r>
          <m:t>1.0</m:t>
        </m:r>
        <m:r>
          <m:t>B</m:t>
        </m:r>
        <m:r>
          <m:t>o</m:t>
        </m:r>
        <m:r>
          <m:t>f</m:t>
        </m:r>
        <m:r>
          <m:t>r</m:t>
        </m:r>
        <m:r>
          <m:t>e</m:t>
        </m:r>
        <m:r>
          <m:t>p</m:t>
        </m:r>
        <m:r>
          <m:t>u</m:t>
        </m:r>
        <m:r>
          <m:t>r</m:t>
        </m:r>
        <m:r>
          <m:t>c</m:t>
        </m:r>
        <m:r>
          <m:t>h</m:t>
        </m:r>
        <m:r>
          <m:t>a</m:t>
        </m:r>
        <m:r>
          <m:t>s</m:t>
        </m:r>
        <m:r>
          <m:t>e</m:t>
        </m:r>
        <m:r>
          <m:t>s</m:t>
        </m:r>
        <m:r>
          <m:rPr>
            <m:sty m:val="p"/>
          </m:rPr>
          <m:t>*</m:t>
        </m:r>
        <m:r>
          <m:rPr>
            <m:sty m:val="p"/>
          </m:rPr>
          <m:t>*</m:t>
        </m:r>
        <m:r>
          <m:rPr>
            <m:sty m:val="p"/>
          </m:rPr>
          <m:t>.</m:t>
        </m:r>
        <m:r>
          <m:t>I</m:t>
        </m:r>
        <m:r>
          <m:t>t</m:t>
        </m:r>
        <m:r>
          <m:t>h</m:t>
        </m:r>
        <m:r>
          <m:t>a</m:t>
        </m:r>
        <m:r>
          <m:t>d</m:t>
        </m:r>
        <m:r>
          <m:t>c</m:t>
        </m:r>
        <m:r>
          <m:t>o</m:t>
        </m:r>
        <m:r>
          <m:t>m</m:t>
        </m:r>
        <m:r>
          <m:t>p</m:t>
        </m:r>
        <m:r>
          <m:t>l</m:t>
        </m:r>
        <m:r>
          <m:t>e</m:t>
        </m:r>
        <m:r>
          <m:t>t</m:t>
        </m:r>
        <m:r>
          <m:t>e</m:t>
        </m:r>
        <m:r>
          <m:t>d</m:t>
        </m:r>
        <m:r>
          <m:rPr>
            <m:sty m:val="p"/>
          </m:rPr>
          <m:t>*</m:t>
        </m:r>
        <m:r>
          <m:rPr>
            <m:sty m:val="p"/>
          </m:rPr>
          <m:t>*</m:t>
        </m:r>
      </m:oMath>
      <w:r>
        <w:rPr>
          <w:b/>
          <w:bCs/>
        </w:rPr>
        <w:t xml:space="preserve">542M</w:t>
      </w:r>
      <w:r>
        <w:t xml:space="preserve"> </w:t>
      </w:r>
      <w:r>
        <w:t xml:space="preserve">of repurchases through the first half.</w:t>
      </w:r>
    </w:p>
    <w:p>
      <w:pPr>
        <w:pStyle w:val="BodyText"/>
      </w:pPr>
      <w:r>
        <w:t xml:space="preserve">The investor question is straightforward: does Q3 show the working-capital unwind and cash-flow trajectory needed to make the full-year target credible?</w:t>
      </w:r>
    </w:p>
    <w:bookmarkEnd w:id="19"/>
    <w:bookmarkStart w:id="20" w:name="stock-setup"/>
    <w:p>
      <w:pPr>
        <w:pStyle w:val="Heading2"/>
      </w:pPr>
      <w:r>
        <w:t xml:space="preserve">Stock setup</w:t>
      </w:r>
    </w:p>
    <w:p>
      <w:pPr>
        <w:pStyle w:val="FirstParagraph"/>
      </w:pPr>
      <w:r>
        <w:t xml:space="preserve">EMR closed at</w:t>
      </w:r>
      <w:r>
        <w:t xml:space="preserve"> </w:t>
      </w:r>
      <w:r>
        <w:rPr>
          <w:b/>
          <w:bCs/>
        </w:rPr>
        <w:t xml:space="preserve">$154.88 on August 3</w:t>
      </w:r>
      <w:r>
        <w:t xml:space="preserve">, up roughly</w:t>
      </w:r>
      <w:r>
        <w:t xml:space="preserve"> </w:t>
      </w:r>
      <w:r>
        <w:rPr>
          <w:b/>
          <w:bCs/>
        </w:rPr>
        <w:t xml:space="preserve">11.0% from July 1</w:t>
      </w:r>
      <w:r>
        <w:t xml:space="preserve"> </w:t>
      </w:r>
      <w:r>
        <w:t xml:space="preserve">and</w:t>
      </w:r>
      <w:r>
        <w:t xml:space="preserve"> </w:t>
      </w:r>
      <w:r>
        <w:rPr>
          <w:b/>
          <w:bCs/>
        </w:rPr>
        <w:t xml:space="preserve">11.9% from May 5</w:t>
      </w:r>
      <w:r>
        <w:t xml:space="preserve">. That run suggests investors are already giving credit for the power/automation growth narrative and the anticipated second-half execution ramp.</w:t>
      </w:r>
    </w:p>
    <w:p>
      <w:pPr>
        <w:pStyle w:val="BodyText"/>
      </w:pPr>
      <w:r>
        <w:t xml:space="preserve">As a result, simply meeting the EPS range may not be enough for a strong reaction. The market is likely to reward evidence of stronger orders, clean segment execution, and confidence in FY2026/FY2027 growth; it is likely to penalize any full-year de-risking tied to project conversion, China, Middle East disruption, or margin pressure.</w:t>
      </w:r>
    </w:p>
    <w:bookmarkEnd w:id="20"/>
    <w:bookmarkStart w:id="21" w:name="bottom-line"/>
    <w:p>
      <w:pPr>
        <w:pStyle w:val="Heading2"/>
      </w:pPr>
      <w:r>
        <w:t xml:space="preserve">Bottom line</w:t>
      </w:r>
    </w:p>
    <w:p>
      <w:pPr>
        <w:pStyle w:val="FirstParagraph"/>
      </w:pPr>
      <w:r>
        <w:rPr>
          <w:b/>
          <w:bCs/>
        </w:rPr>
        <w:t xml:space="preserve">Base case:</w:t>
      </w:r>
      <w:r>
        <w:t xml:space="preserve"> </w:t>
      </w:r>
      <w:r>
        <w:t xml:space="preserve">Emerson delivers results around its guided Q3 range, with Software &amp; Systems and Test &amp; Measurement driving the planned acceleration, while margins remain near 28%. Full-year guidance is reiterated.</w:t>
      </w:r>
    </w:p>
    <w:p>
      <w:pPr>
        <w:pStyle w:val="BodyText"/>
      </w:pPr>
      <w:r>
        <w:rPr>
          <w:b/>
          <w:bCs/>
        </w:rPr>
        <w:t xml:space="preserve">Bull case:</w:t>
      </w:r>
      <w:r>
        <w:t xml:space="preserve"> </w:t>
      </w:r>
      <w:r>
        <w:t xml:space="preserve">Orders remain mid- to high-single-digit, power and T&amp;M exceed expectations, Middle East activity improves faster than assumed, and management expresses greater confidence in the second-half conversion and FY2027 setup.</w:t>
      </w:r>
    </w:p>
    <w:p>
      <w:pPr>
        <w:pStyle w:val="BodyText"/>
      </w:pPr>
      <w:r>
        <w:rPr>
          <w:b/>
          <w:bCs/>
        </w:rPr>
        <w:t xml:space="preserve">Bear case:</w:t>
      </w:r>
      <w:r>
        <w:t xml:space="preserve"> </w:t>
      </w:r>
      <w:r>
        <w:t xml:space="preserve">Backlog conversion slips, Intelligent Devices fails to rebound, China/Europe weakness broadens, Middle East disruption persists, or mix/tariffs/freight prevent the targeted margin expansion. In that case, the market would likely question the full-year sales and free-cash-flow framework.</w:t>
      </w:r>
    </w:p>
    <w:p>
      <w:pPr>
        <w:pStyle w:val="BodyText"/>
      </w:pPr>
      <w:r>
        <w:rPr>
          <w:b/>
          <w:bCs/>
        </w:rPr>
        <w:t xml:space="preserve">Research basis:</w:t>
      </w:r>
      <w:r>
        <w:t xml:space="preserve"> </w:t>
      </w:r>
      <w:r>
        <w:t xml:space="preserve">Emerson FY2026 Q2 earnings release, earnings-call transcript, and March 31, 2026 Form 10-Q; Emerson FY2025 Q3 earnings release; historical EMR price data.</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2026-08-04T01:26:42Z</dcterms:created>
  <dcterms:modified xsi:type="dcterms:W3CDTF">2026-08-04T01:26:42Z</dcterms:modified>
</cp:coreProperties>
</file>

<file path=docProps/custom.xml><?xml version="1.0" encoding="utf-8"?>
<Properties xmlns="http://schemas.openxmlformats.org/officeDocument/2006/custom-properties" xmlns:vt="http://schemas.openxmlformats.org/officeDocument/2006/docPropsVTypes"/>
</file>