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Emerson Electric Co.</w:t>
            </w:r>
          </w:p>
        </w:tc>
      </w:tr>
      <w:tr>
        <w:tc>
          <w:tcPr>
            <w:tcW w:type="dxa" w:w="4320"/>
          </w:tcPr>
          <w:p>
            <w:r>
              <w:rPr>
                <w:rFonts w:ascii="Calibri" w:hAnsi="Calibri"/>
                <w:b/>
                <w:sz w:val="22"/>
              </w:rPr>
              <w:t>Ticker</w:t>
            </w:r>
          </w:p>
        </w:tc>
        <w:tc>
          <w:tcPr>
            <w:tcW w:type="dxa" w:w="4320"/>
          </w:tcPr>
          <w:p>
            <w:r>
              <w:rPr>
                <w:rFonts w:ascii="Calibri" w:hAnsi="Calibri"/>
                <w:sz w:val="22"/>
              </w:rPr>
              <w:t>EMR</w:t>
            </w:r>
          </w:p>
        </w:tc>
      </w:tr>
      <w:tr>
        <w:tc>
          <w:tcPr>
            <w:tcW w:type="dxa" w:w="4320"/>
          </w:tcPr>
          <w:p>
            <w:r>
              <w:rPr>
                <w:rFonts w:ascii="Calibri" w:hAnsi="Calibri"/>
                <w:b/>
                <w:sz w:val="22"/>
              </w:rPr>
              <w:t>Upcoming Earnings</w:t>
            </w:r>
          </w:p>
        </w:tc>
        <w:tc>
          <w:tcPr>
            <w:tcW w:type="dxa" w:w="4320"/>
          </w:tcPr>
          <w:p>
            <w:r>
              <w:rPr>
                <w:rFonts w:ascii="Calibri" w:hAnsi="Calibri"/>
                <w:sz w:val="22"/>
              </w:rPr>
              <w:t>Q3 FY2026 (fiscal quarter ending June 30, 2026)</w:t>
            </w:r>
          </w:p>
        </w:tc>
      </w:tr>
      <w:tr>
        <w:tc>
          <w:tcPr>
            <w:tcW w:type="dxa" w:w="4320"/>
          </w:tcPr>
          <w:p>
            <w:r>
              <w:rPr>
                <w:rFonts w:ascii="Calibri" w:hAnsi="Calibri"/>
                <w:b/>
                <w:sz w:val="22"/>
              </w:rPr>
              <w:t>Prepared</w:t>
            </w:r>
          </w:p>
        </w:tc>
        <w:tc>
          <w:tcPr>
            <w:tcW w:type="dxa" w:w="4320"/>
          </w:tcPr>
          <w:p>
            <w:r>
              <w:rPr>
                <w:rFonts w:ascii="Calibri" w:hAnsi="Calibri"/>
                <w:sz w:val="22"/>
              </w:rPr>
              <w:t>August 3, 2026</w:t>
            </w:r>
          </w:p>
        </w:tc>
      </w:tr>
    </w:tbl>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Q3 FY2026 is constructive — consensus sits below management's own guidance midpoint on both revenue and EPS, the software renewal headwind that weighed on H1 margins reverses in H2, and the backlog at $8.2B (+9% YoY) provides strong revenue visibility; the biggest swing factor is whether Middle East operations continue to normalize or re-escalate.</w:t>
      </w:r>
    </w:p>
    <w:p>
      <w:r>
        <w:rPr>
          <w:rFonts w:ascii="Calibri" w:hAnsi="Calibri"/>
          <w:color w:val="525866"/>
          <w:sz w:val="22"/>
        </w:rPr>
        <w:t xml:space="preserve">Heading into Q3 FY2026, Emerson's setup looks favorable relative to a bar that management has effectively set above current consensus. </w:t>
      </w:r>
      <w:r>
        <w:rPr>
          <w:rFonts w:ascii="Calibri" w:hAnsi="Calibri"/>
          <w:b/>
          <w:color w:val="525866"/>
          <w:sz w:val="22"/>
        </w:rPr>
        <w:t>Management guided Q3 underlying sales growth of ~5% and adjusted EPS of $1.65–$1.70</w:t>
      </w:r>
      <w:r>
        <w:rPr>
          <w:rFonts w:ascii="Calibri" w:hAnsi="Calibri"/>
          <w:color w:val="525866"/>
          <w:sz w:val="22"/>
        </w:rPr>
        <w:t xml:space="preserve">, while consensus sits at $1.677 — near the midpoint, leaving room for a beat if execution holds. The critical tailwind in Q3 is the </w:t>
      </w:r>
      <w:r>
        <w:rPr>
          <w:rFonts w:ascii="Calibri" w:hAnsi="Calibri"/>
          <w:b/>
          <w:color w:val="525866"/>
          <w:sz w:val="22"/>
        </w:rPr>
        <w:t>reversal of the software contract renewal headwind</w:t>
      </w:r>
      <w:r>
        <w:rPr>
          <w:rFonts w:ascii="Calibri" w:hAnsi="Calibri"/>
          <w:color w:val="525866"/>
          <w:sz w:val="22"/>
        </w:rPr>
        <w:t xml:space="preserve"> that dragged H1 margins by 90 bps; management guided Q3 adjusted segment EBITA margin of ~28%, up meaningfully from Q2's 27.6%, and consensus at 26.6% appears to embed conservatism. Estimate revisions since the May 5 print have been essentially flat — EPS for Q3 moved from $1.674 to $1.677 and FY2026 from $6.497 to $6.502 — suggesting the Street has largely accepted guidance rather than building in incremental upside. The stock has outperformed since last earnings (+11.9% vs. XLI +6.2% and SPY +4.7%), pricing in a degree of execution confidence, though the multiple remains below peak given ongoing China and Middle East uncertainty. The key wildcard is the </w:t>
      </w:r>
      <w:r>
        <w:rPr>
          <w:rFonts w:ascii="Calibri" w:hAnsi="Calibri"/>
          <w:b/>
          <w:color w:val="525866"/>
          <w:sz w:val="22"/>
        </w:rPr>
        <w:t>Middle East conflict trajectory</w:t>
      </w:r>
      <w:r>
        <w:rPr>
          <w:rFonts w:ascii="Calibri" w:hAnsi="Calibri"/>
          <w:color w:val="525866"/>
          <w:sz w:val="22"/>
        </w:rPr>
        <w:t>: guidance assumes the conflict stays contained to the Arabian Peninsula, and any re-escalation or Strait of Hormuz disruption beyond current levels could pressure the ~7% of sales exposed to the region and push the full-year 1-point headwind higher.</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sits below management's Q3 guidance on both EPS ($1.677 vs. $1.675 midpoint) and margin (26.6% vs. ~28% guided), making the margin line the bigger swing factor — a beat there would confirm the H2 acceleration thesis and likely drive the stock.</w:t>
      </w:r>
    </w:p>
    <w:p>
      <w:pPr>
        <w:pStyle w:val="Heading2"/>
      </w:pPr>
      <w:r>
        <w:rPr>
          <w:rFonts w:ascii="Calibri" w:hAnsi="Calibri"/>
          <w:b/>
          <w:color w:val="3B4259"/>
          <w:sz w:val="28"/>
        </w:rPr>
        <w:t>Table 1 — Current Quarter Snapshot (Q3 FY2026)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(Q2 FY2026)</w:t>
            </w:r>
          </w:p>
        </w:tc>
        <w:tc>
          <w:tcPr>
            <w:tcW w:type="dxa" w:w="1234"/>
            <w:shd w:val="clear" w:color="auto" w:fill="3B4259"/>
          </w:tcPr>
          <w:p>
            <w:r>
              <w:rPr>
                <w:rFonts w:ascii="Calibri" w:hAnsi="Calibri"/>
                <w:b/>
                <w:color w:val="FFFFFF"/>
                <w:sz w:val="22"/>
              </w:rPr>
              <w:t>Prior Year Period (Q3 FY2025)</w:t>
            </w:r>
          </w:p>
        </w:tc>
        <w:tc>
          <w:tcPr>
            <w:tcW w:type="dxa" w:w="1234"/>
            <w:shd w:val="clear" w:color="auto" w:fill="3B4259"/>
          </w:tcPr>
          <w:p>
            <w:r>
              <w:rPr>
                <w:rFonts w:ascii="Calibri" w:hAnsi="Calibri"/>
                <w:b/>
                <w:color w:val="FFFFFF"/>
                <w:sz w:val="22"/>
              </w:rPr>
              <w:t>Q3 FY2026 Consensus Estimate</w:t>
            </w:r>
          </w:p>
        </w:tc>
        <w:tc>
          <w:tcPr>
            <w:tcW w:type="dxa" w:w="1234"/>
            <w:shd w:val="clear" w:color="auto" w:fill="3B4259"/>
          </w:tcPr>
          <w:p>
            <w:r>
              <w:rPr>
                <w:rFonts w:ascii="Calibri" w:hAnsi="Calibri"/>
                <w:b/>
                <w:color w:val="FFFFFF"/>
                <w:sz w:val="22"/>
              </w:rPr>
              <w:t>YoY Change (vs. Q3 FY2025 Actual)</w:t>
            </w:r>
          </w:p>
        </w:tc>
        <w:tc>
          <w:tcPr>
            <w:tcW w:type="dxa" w:w="1234"/>
            <w:shd w:val="clear" w:color="auto" w:fill="3B4259"/>
          </w:tcPr>
          <w:p>
            <w:r>
              <w:rPr>
                <w:rFonts w:ascii="Calibri" w:hAnsi="Calibri"/>
                <w:b/>
                <w:color w:val="FFFFFF"/>
                <w:sz w:val="22"/>
              </w:rPr>
              <w:t>Q3 FY2026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Net Sales ($B)</w:t>
            </w:r>
          </w:p>
        </w:tc>
        <w:tc>
          <w:tcPr>
            <w:tcW w:type="dxa" w:w="1234"/>
          </w:tcPr>
          <w:p>
            <w:r>
              <w:rPr>
                <w:rFonts w:ascii="Calibri" w:hAnsi="Calibri"/>
                <w:sz w:val="22"/>
              </w:rPr>
              <w:t>$4.562B</w:t>
            </w:r>
          </w:p>
        </w:tc>
        <w:tc>
          <w:tcPr>
            <w:tcW w:type="dxa" w:w="1234"/>
          </w:tcPr>
          <w:p>
            <w:r>
              <w:rPr>
                <w:rFonts w:ascii="Calibri" w:hAnsi="Calibri"/>
                <w:sz w:val="22"/>
              </w:rPr>
              <w:t>$4.553B</w:t>
            </w:r>
          </w:p>
        </w:tc>
        <w:tc>
          <w:tcPr>
            <w:tcW w:type="dxa" w:w="1234"/>
          </w:tcPr>
          <w:p>
            <w:r>
              <w:rPr>
                <w:rFonts w:ascii="Calibri" w:hAnsi="Calibri"/>
                <w:sz w:val="22"/>
              </w:rPr>
              <w:t>$4.801B</w:t>
            </w:r>
          </w:p>
        </w:tc>
        <w:tc>
          <w:tcPr>
            <w:tcW w:type="dxa" w:w="1234"/>
          </w:tcPr>
          <w:p>
            <w:r>
              <w:rPr>
                <w:rFonts w:ascii="Calibri" w:hAnsi="Calibri"/>
                <w:sz w:val="22"/>
              </w:rPr>
              <w:t>+5.4%</w:t>
            </w:r>
          </w:p>
        </w:tc>
        <w:tc>
          <w:tcPr>
            <w:tcW w:type="dxa" w:w="1234"/>
          </w:tcPr>
          <w:p>
            <w:r>
              <w:rPr>
                <w:rFonts w:ascii="Calibri" w:hAnsi="Calibri"/>
                <w:sz w:val="22"/>
              </w:rPr>
              <w:t>~5.5% total growth (implied ~$4.80B)</w:t>
            </w:r>
          </w:p>
        </w:tc>
        <w:tc>
          <w:tcPr>
            <w:tcW w:type="dxa" w:w="1234"/>
          </w:tcPr>
          <w:p>
            <w:r>
              <w:rPr>
                <w:rFonts w:ascii="Calibri" w:hAnsi="Calibri"/>
                <w:sz w:val="22"/>
              </w:rPr>
              <w:t>~0%</w:t>
            </w:r>
          </w:p>
        </w:tc>
      </w:tr>
      <w:tr>
        <w:tc>
          <w:tcPr>
            <w:tcW w:type="dxa" w:w="1234"/>
          </w:tcPr>
          <w:p>
            <w:r>
              <w:rPr>
                <w:rFonts w:ascii="Calibri" w:hAnsi="Calibri"/>
                <w:sz w:val="22"/>
              </w:rPr>
              <w:t>Organic Sales Growth (%)</w:t>
            </w:r>
          </w:p>
        </w:tc>
        <w:tc>
          <w:tcPr>
            <w:tcW w:type="dxa" w:w="1234"/>
          </w:tcPr>
          <w:p>
            <w:r>
              <w:rPr>
                <w:rFonts w:ascii="Calibri" w:hAnsi="Calibri"/>
                <w:sz w:val="22"/>
              </w:rPr>
              <w:t>+0.4%</w:t>
            </w:r>
          </w:p>
        </w:tc>
        <w:tc>
          <w:tcPr>
            <w:tcW w:type="dxa" w:w="1234"/>
          </w:tcPr>
          <w:p>
            <w:r>
              <w:rPr>
                <w:rFonts w:ascii="Calibri" w:hAnsi="Calibri"/>
                <w:sz w:val="22"/>
              </w:rPr>
              <w:t>+2.5%</w:t>
            </w:r>
          </w:p>
        </w:tc>
        <w:tc>
          <w:tcPr>
            <w:tcW w:type="dxa" w:w="1234"/>
          </w:tcPr>
          <w:p>
            <w:r>
              <w:rPr>
                <w:rFonts w:ascii="Calibri" w:hAnsi="Calibri"/>
                <w:sz w:val="22"/>
              </w:rPr>
              <w:t>+4.8%</w:t>
            </w:r>
          </w:p>
        </w:tc>
        <w:tc>
          <w:tcPr>
            <w:tcW w:type="dxa" w:w="1234"/>
          </w:tcPr>
          <w:p>
            <w:r>
              <w:rPr>
                <w:rFonts w:ascii="Calibri" w:hAnsi="Calibri"/>
                <w:sz w:val="22"/>
              </w:rPr>
              <w:t>+230 bps vs. Q3 FY2025</w:t>
            </w:r>
          </w:p>
        </w:tc>
        <w:tc>
          <w:tcPr>
            <w:tcW w:type="dxa" w:w="1234"/>
          </w:tcPr>
          <w:p>
            <w:r>
              <w:rPr>
                <w:rFonts w:ascii="Calibri" w:hAnsi="Calibri"/>
                <w:sz w:val="22"/>
              </w:rPr>
              <w:t>~5% underlying growth</w:t>
            </w:r>
          </w:p>
        </w:tc>
        <w:tc>
          <w:tcPr>
            <w:tcW w:type="dxa" w:w="1234"/>
          </w:tcPr>
          <w:p>
            <w:r>
              <w:rPr>
                <w:rFonts w:ascii="Calibri" w:hAnsi="Calibri"/>
                <w:sz w:val="22"/>
              </w:rPr>
              <w:t>~-20 bps below midpoint</w:t>
            </w:r>
          </w:p>
        </w:tc>
      </w:tr>
      <w:tr>
        <w:tc>
          <w:tcPr>
            <w:tcW w:type="dxa" w:w="1234"/>
          </w:tcPr>
          <w:p>
            <w:r>
              <w:rPr>
                <w:rFonts w:ascii="Calibri" w:hAnsi="Calibri"/>
                <w:sz w:val="22"/>
              </w:rPr>
              <w:t>Adj. Segment EBITA Margin (%)</w:t>
            </w:r>
          </w:p>
        </w:tc>
        <w:tc>
          <w:tcPr>
            <w:tcW w:type="dxa" w:w="1234"/>
          </w:tcPr>
          <w:p>
            <w:r>
              <w:rPr>
                <w:rFonts w:ascii="Calibri" w:hAnsi="Calibri"/>
                <w:sz w:val="22"/>
              </w:rPr>
              <w:t>27.6%</w:t>
            </w:r>
          </w:p>
        </w:tc>
        <w:tc>
          <w:tcPr>
            <w:tcW w:type="dxa" w:w="1234"/>
          </w:tcPr>
          <w:p>
            <w:r>
              <w:rPr>
                <w:rFonts w:ascii="Calibri" w:hAnsi="Calibri"/>
                <w:sz w:val="22"/>
              </w:rPr>
              <w:t>26.0%</w:t>
            </w:r>
          </w:p>
        </w:tc>
        <w:tc>
          <w:tcPr>
            <w:tcW w:type="dxa" w:w="1234"/>
          </w:tcPr>
          <w:p>
            <w:r>
              <w:rPr>
                <w:rFonts w:ascii="Calibri" w:hAnsi="Calibri"/>
                <w:sz w:val="22"/>
              </w:rPr>
              <w:t>26.6%</w:t>
            </w:r>
          </w:p>
        </w:tc>
        <w:tc>
          <w:tcPr>
            <w:tcW w:type="dxa" w:w="1234"/>
          </w:tcPr>
          <w:p>
            <w:r>
              <w:rPr>
                <w:rFonts w:ascii="Calibri" w:hAnsi="Calibri"/>
                <w:sz w:val="22"/>
              </w:rPr>
              <w:t>+60 bps</w:t>
            </w:r>
          </w:p>
        </w:tc>
        <w:tc>
          <w:tcPr>
            <w:tcW w:type="dxa" w:w="1234"/>
          </w:tcPr>
          <w:p>
            <w:r>
              <w:rPr>
                <w:rFonts w:ascii="Calibri" w:hAnsi="Calibri"/>
                <w:sz w:val="22"/>
              </w:rPr>
              <w:t>~28%</w:t>
            </w:r>
          </w:p>
        </w:tc>
        <w:tc>
          <w:tcPr>
            <w:tcW w:type="dxa" w:w="1234"/>
          </w:tcPr>
          <w:p>
            <w:r>
              <w:rPr>
                <w:rFonts w:ascii="Calibri" w:hAnsi="Calibri"/>
                <w:sz w:val="22"/>
              </w:rPr>
              <w:t>-140 bps below guidance</w:t>
            </w:r>
          </w:p>
        </w:tc>
      </w:tr>
      <w:tr>
        <w:tc>
          <w:tcPr>
            <w:tcW w:type="dxa" w:w="1234"/>
          </w:tcPr>
          <w:p>
            <w:r>
              <w:rPr>
                <w:rFonts w:ascii="Calibri" w:hAnsi="Calibri"/>
                <w:sz w:val="22"/>
              </w:rPr>
              <w:t>Adj. EPS — Diluted Operating ($)</w:t>
            </w:r>
          </w:p>
        </w:tc>
        <w:tc>
          <w:tcPr>
            <w:tcW w:type="dxa" w:w="1234"/>
          </w:tcPr>
          <w:p>
            <w:r>
              <w:rPr>
                <w:rFonts w:ascii="Calibri" w:hAnsi="Calibri"/>
                <w:sz w:val="22"/>
              </w:rPr>
              <w:t>$1.54</w:t>
            </w:r>
          </w:p>
        </w:tc>
        <w:tc>
          <w:tcPr>
            <w:tcW w:type="dxa" w:w="1234"/>
          </w:tcPr>
          <w:p>
            <w:r>
              <w:rPr>
                <w:rFonts w:ascii="Calibri" w:hAnsi="Calibri"/>
                <w:sz w:val="22"/>
              </w:rPr>
              <w:t>$1.52</w:t>
            </w:r>
          </w:p>
        </w:tc>
        <w:tc>
          <w:tcPr>
            <w:tcW w:type="dxa" w:w="1234"/>
          </w:tcPr>
          <w:p>
            <w:r>
              <w:rPr>
                <w:rFonts w:ascii="Calibri" w:hAnsi="Calibri"/>
                <w:sz w:val="22"/>
              </w:rPr>
              <w:t>$1.677</w:t>
            </w:r>
          </w:p>
        </w:tc>
        <w:tc>
          <w:tcPr>
            <w:tcW w:type="dxa" w:w="1234"/>
          </w:tcPr>
          <w:p>
            <w:r>
              <w:rPr>
                <w:rFonts w:ascii="Calibri" w:hAnsi="Calibri"/>
                <w:sz w:val="22"/>
              </w:rPr>
              <w:t>+10.3%</w:t>
            </w:r>
          </w:p>
        </w:tc>
        <w:tc>
          <w:tcPr>
            <w:tcW w:type="dxa" w:w="1234"/>
          </w:tcPr>
          <w:p>
            <w:r>
              <w:rPr>
                <w:rFonts w:ascii="Calibri" w:hAnsi="Calibri"/>
                <w:sz w:val="22"/>
              </w:rPr>
              <w:t>$1.65–$1.70 ($1.675 mid)</w:t>
            </w:r>
          </w:p>
        </w:tc>
        <w:tc>
          <w:tcPr>
            <w:tcW w:type="dxa" w:w="1234"/>
          </w:tcPr>
          <w:p>
            <w:r>
              <w:rPr>
                <w:rFonts w:ascii="Calibri" w:hAnsi="Calibri"/>
                <w:sz w:val="22"/>
              </w:rPr>
              <w:t>+0.1% above midpoint</w:t>
            </w:r>
          </w:p>
        </w:tc>
      </w:tr>
      <w:tr>
        <w:tc>
          <w:tcPr>
            <w:tcW w:type="dxa" w:w="1234"/>
          </w:tcPr>
          <w:p>
            <w:r>
              <w:rPr>
                <w:rFonts w:ascii="Calibri" w:hAnsi="Calibri"/>
                <w:sz w:val="22"/>
              </w:rPr>
              <w:t>Free Cash Flow ($B)</w:t>
            </w:r>
          </w:p>
        </w:tc>
        <w:tc>
          <w:tcPr>
            <w:tcW w:type="dxa" w:w="1234"/>
          </w:tcPr>
          <w:p>
            <w:r>
              <w:rPr>
                <w:rFonts w:ascii="Calibri" w:hAnsi="Calibri"/>
                <w:sz w:val="22"/>
              </w:rPr>
              <w:t>$0.694B</w:t>
            </w:r>
          </w:p>
        </w:tc>
        <w:tc>
          <w:tcPr>
            <w:tcW w:type="dxa" w:w="1234"/>
          </w:tcPr>
          <w:p>
            <w:r>
              <w:rPr>
                <w:rFonts w:ascii="Calibri" w:hAnsi="Calibri"/>
                <w:sz w:val="22"/>
              </w:rPr>
              <w:t>$0.968B</w:t>
            </w:r>
          </w:p>
        </w:tc>
        <w:tc>
          <w:tcPr>
            <w:tcW w:type="dxa" w:w="1234"/>
          </w:tcPr>
          <w:p>
            <w:r>
              <w:rPr>
                <w:rFonts w:ascii="Calibri" w:hAnsi="Calibri"/>
                <w:sz w:val="22"/>
              </w:rPr>
              <w:t>$1.132B</w:t>
            </w:r>
          </w:p>
        </w:tc>
        <w:tc>
          <w:tcPr>
            <w:tcW w:type="dxa" w:w="1234"/>
          </w:tcPr>
          <w:p>
            <w:r>
              <w:rPr>
                <w:rFonts w:ascii="Calibri" w:hAnsi="Calibri"/>
                <w:sz w:val="22"/>
              </w:rPr>
              <w:t>+17.0%</w:t>
            </w:r>
          </w:p>
        </w:tc>
        <w:tc>
          <w:tcPr>
            <w:tcW w:type="dxa" w:w="1234"/>
          </w:tcPr>
          <w:p>
            <w:r>
              <w:rPr>
                <w:rFonts w:ascii="Calibri" w:hAnsi="Calibri"/>
                <w:sz w:val="22"/>
              </w:rPr>
              <w:t>FY2026: $3.5B–$3.6B</w:t>
            </w:r>
          </w:p>
        </w:tc>
        <w:tc>
          <w:tcPr>
            <w:tcW w:type="dxa" w:w="1234"/>
          </w:tcPr>
          <w:p>
            <w:r>
              <w:rPr>
                <w:rFonts w:ascii="Calibri" w:hAnsi="Calibri"/>
                <w:sz w:val="22"/>
              </w:rPr>
              <w:t>N/A (quarterly)</w:t>
            </w:r>
          </w:p>
        </w:tc>
      </w:tr>
    </w:tbl>
    <w:p>
      <w:r>
        <w:rPr>
          <w:rFonts w:ascii="Calibri" w:hAnsi="Calibri"/>
          <w:color w:val="525866"/>
          <w:sz w:val="22"/>
        </w:rPr>
        <w:t>Source: Visible Alpha Consensus and Actuals Data. All consensus figures as of latest available (August 3, 2026). Q3 FY2026 guidance from Q2 FY2026 earnings call (May 5, 2026).</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Adj. EPS — Diluted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FY2024</w:t>
            </w:r>
          </w:p>
        </w:tc>
        <w:tc>
          <w:tcPr>
            <w:tcW w:type="dxa" w:w="1728"/>
          </w:tcPr>
          <w:p>
            <w:r>
              <w:rPr>
                <w:rFonts w:ascii="Calibri" w:hAnsi="Calibri"/>
                <w:sz w:val="22"/>
              </w:rPr>
              <w:t>$1.43</w:t>
            </w:r>
          </w:p>
        </w:tc>
        <w:tc>
          <w:tcPr>
            <w:tcW w:type="dxa" w:w="1728"/>
          </w:tcPr>
          <w:p>
            <w:r>
              <w:rPr>
                <w:rFonts w:ascii="Calibri" w:hAnsi="Calibri"/>
                <w:sz w:val="22"/>
              </w:rPr>
              <w:t>$1.411</w:t>
            </w:r>
          </w:p>
        </w:tc>
        <w:tc>
          <w:tcPr>
            <w:tcW w:type="dxa" w:w="1728"/>
          </w:tcPr>
          <w:p>
            <w:r>
              <w:rPr>
                <w:rFonts w:ascii="Calibri" w:hAnsi="Calibri"/>
                <w:b/>
                <w:color w:val="30A46C"/>
                <w:sz w:val="22"/>
              </w:rPr>
              <w:t>+1.3%</w:t>
            </w:r>
          </w:p>
        </w:tc>
        <w:tc>
          <w:tcPr>
            <w:tcW w:type="dxa" w:w="1728"/>
          </w:tcPr>
          <w:p>
            <w:r>
              <w:rPr>
                <w:rFonts w:ascii="Calibri" w:hAnsi="Calibri"/>
                <w:sz w:val="22"/>
              </w:rPr>
              <w:t>Beat</w:t>
            </w:r>
          </w:p>
        </w:tc>
      </w:tr>
      <w:tr>
        <w:tc>
          <w:tcPr>
            <w:tcW w:type="dxa" w:w="1728"/>
          </w:tcPr>
          <w:p>
            <w:r>
              <w:rPr>
                <w:rFonts w:ascii="Calibri" w:hAnsi="Calibri"/>
                <w:sz w:val="22"/>
              </w:rPr>
              <w:t>Q4 FY2024</w:t>
            </w:r>
          </w:p>
        </w:tc>
        <w:tc>
          <w:tcPr>
            <w:tcW w:type="dxa" w:w="1728"/>
          </w:tcPr>
          <w:p>
            <w:r>
              <w:rPr>
                <w:rFonts w:ascii="Calibri" w:hAnsi="Calibri"/>
                <w:sz w:val="22"/>
              </w:rPr>
              <w:t>$1.48</w:t>
            </w:r>
          </w:p>
        </w:tc>
        <w:tc>
          <w:tcPr>
            <w:tcW w:type="dxa" w:w="1728"/>
          </w:tcPr>
          <w:p>
            <w:r>
              <w:rPr>
                <w:rFonts w:ascii="Calibri" w:hAnsi="Calibri"/>
                <w:sz w:val="22"/>
              </w:rPr>
              <w:t>$1.465</w:t>
            </w:r>
          </w:p>
        </w:tc>
        <w:tc>
          <w:tcPr>
            <w:tcW w:type="dxa" w:w="1728"/>
          </w:tcPr>
          <w:p>
            <w:r>
              <w:rPr>
                <w:rFonts w:ascii="Calibri" w:hAnsi="Calibri"/>
                <w:b/>
                <w:color w:val="30A46C"/>
                <w:sz w:val="22"/>
              </w:rPr>
              <w:t>+1.0%</w:t>
            </w:r>
          </w:p>
        </w:tc>
        <w:tc>
          <w:tcPr>
            <w:tcW w:type="dxa" w:w="1728"/>
          </w:tcPr>
          <w:p>
            <w:r>
              <w:rPr>
                <w:rFonts w:ascii="Calibri" w:hAnsi="Calibri"/>
                <w:sz w:val="22"/>
              </w:rPr>
              <w:t>Beat</w:t>
            </w:r>
          </w:p>
        </w:tc>
      </w:tr>
      <w:tr>
        <w:tc>
          <w:tcPr>
            <w:tcW w:type="dxa" w:w="1728"/>
          </w:tcPr>
          <w:p>
            <w:r>
              <w:rPr>
                <w:rFonts w:ascii="Calibri" w:hAnsi="Calibri"/>
                <w:sz w:val="22"/>
              </w:rPr>
              <w:t>Q1 FY2025</w:t>
            </w:r>
          </w:p>
        </w:tc>
        <w:tc>
          <w:tcPr>
            <w:tcW w:type="dxa" w:w="1728"/>
          </w:tcPr>
          <w:p>
            <w:r>
              <w:rPr>
                <w:rFonts w:ascii="Calibri" w:hAnsi="Calibri"/>
                <w:sz w:val="22"/>
              </w:rPr>
              <w:t>$1.38</w:t>
            </w:r>
          </w:p>
        </w:tc>
        <w:tc>
          <w:tcPr>
            <w:tcW w:type="dxa" w:w="1728"/>
          </w:tcPr>
          <w:p>
            <w:r>
              <w:rPr>
                <w:rFonts w:ascii="Calibri" w:hAnsi="Calibri"/>
                <w:sz w:val="22"/>
              </w:rPr>
              <w:t>$1.275</w:t>
            </w:r>
          </w:p>
        </w:tc>
        <w:tc>
          <w:tcPr>
            <w:tcW w:type="dxa" w:w="1728"/>
          </w:tcPr>
          <w:p>
            <w:r>
              <w:rPr>
                <w:rFonts w:ascii="Calibri" w:hAnsi="Calibri"/>
                <w:b/>
                <w:color w:val="30A46C"/>
                <w:sz w:val="22"/>
              </w:rPr>
              <w:t>+8.2%</w:t>
            </w:r>
          </w:p>
        </w:tc>
        <w:tc>
          <w:tcPr>
            <w:tcW w:type="dxa" w:w="1728"/>
          </w:tcPr>
          <w:p>
            <w:r>
              <w:rPr>
                <w:rFonts w:ascii="Calibri" w:hAnsi="Calibri"/>
                <w:sz w:val="22"/>
              </w:rPr>
              <w:t>Beat</w:t>
            </w:r>
          </w:p>
        </w:tc>
      </w:tr>
      <w:tr>
        <w:tc>
          <w:tcPr>
            <w:tcW w:type="dxa" w:w="1728"/>
          </w:tcPr>
          <w:p>
            <w:r>
              <w:rPr>
                <w:rFonts w:ascii="Calibri" w:hAnsi="Calibri"/>
                <w:sz w:val="22"/>
              </w:rPr>
              <w:t>Q2 FY2025</w:t>
            </w:r>
          </w:p>
        </w:tc>
        <w:tc>
          <w:tcPr>
            <w:tcW w:type="dxa" w:w="1728"/>
          </w:tcPr>
          <w:p>
            <w:r>
              <w:rPr>
                <w:rFonts w:ascii="Calibri" w:hAnsi="Calibri"/>
                <w:sz w:val="22"/>
              </w:rPr>
              <w:t>$1.48</w:t>
            </w:r>
          </w:p>
        </w:tc>
        <w:tc>
          <w:tcPr>
            <w:tcW w:type="dxa" w:w="1728"/>
          </w:tcPr>
          <w:p>
            <w:r>
              <w:rPr>
                <w:rFonts w:ascii="Calibri" w:hAnsi="Calibri"/>
                <w:sz w:val="22"/>
              </w:rPr>
              <w:t>$1.417</w:t>
            </w:r>
          </w:p>
        </w:tc>
        <w:tc>
          <w:tcPr>
            <w:tcW w:type="dxa" w:w="1728"/>
          </w:tcPr>
          <w:p>
            <w:r>
              <w:rPr>
                <w:rFonts w:ascii="Calibri" w:hAnsi="Calibri"/>
                <w:b/>
                <w:color w:val="30A46C"/>
                <w:sz w:val="22"/>
              </w:rPr>
              <w:t>+4.5%</w:t>
            </w:r>
          </w:p>
        </w:tc>
        <w:tc>
          <w:tcPr>
            <w:tcW w:type="dxa" w:w="1728"/>
          </w:tcPr>
          <w:p>
            <w:r>
              <w:rPr>
                <w:rFonts w:ascii="Calibri" w:hAnsi="Calibri"/>
                <w:sz w:val="22"/>
              </w:rPr>
              <w:t>Beat</w:t>
            </w:r>
          </w:p>
        </w:tc>
      </w:tr>
      <w:tr>
        <w:tc>
          <w:tcPr>
            <w:tcW w:type="dxa" w:w="1728"/>
          </w:tcPr>
          <w:p>
            <w:r>
              <w:rPr>
                <w:rFonts w:ascii="Calibri" w:hAnsi="Calibri"/>
                <w:sz w:val="22"/>
              </w:rPr>
              <w:t>Q3 FY2025</w:t>
            </w:r>
          </w:p>
        </w:tc>
        <w:tc>
          <w:tcPr>
            <w:tcW w:type="dxa" w:w="1728"/>
          </w:tcPr>
          <w:p>
            <w:r>
              <w:rPr>
                <w:rFonts w:ascii="Calibri" w:hAnsi="Calibri"/>
                <w:sz w:val="22"/>
              </w:rPr>
              <w:t>$1.52</w:t>
            </w:r>
          </w:p>
        </w:tc>
        <w:tc>
          <w:tcPr>
            <w:tcW w:type="dxa" w:w="1728"/>
          </w:tcPr>
          <w:p>
            <w:r>
              <w:rPr>
                <w:rFonts w:ascii="Calibri" w:hAnsi="Calibri"/>
                <w:sz w:val="22"/>
              </w:rPr>
              <w:t>$1.520</w:t>
            </w:r>
          </w:p>
        </w:tc>
        <w:tc>
          <w:tcPr>
            <w:tcW w:type="dxa" w:w="1728"/>
          </w:tcPr>
          <w:p>
            <w:r>
              <w:rPr>
                <w:rFonts w:ascii="Calibri" w:hAnsi="Calibri"/>
                <w:sz w:val="22"/>
              </w:rPr>
              <w:t>0.0%</w:t>
            </w:r>
          </w:p>
        </w:tc>
        <w:tc>
          <w:tcPr>
            <w:tcW w:type="dxa" w:w="1728"/>
          </w:tcPr>
          <w:p>
            <w:r>
              <w:rPr>
                <w:rFonts w:ascii="Calibri" w:hAnsi="Calibri"/>
                <w:sz w:val="22"/>
              </w:rPr>
              <w:t>In-Line</w:t>
            </w:r>
          </w:p>
        </w:tc>
      </w:tr>
      <w:tr>
        <w:tc>
          <w:tcPr>
            <w:tcW w:type="dxa" w:w="1728"/>
          </w:tcPr>
          <w:p>
            <w:r>
              <w:rPr>
                <w:rFonts w:ascii="Calibri" w:hAnsi="Calibri"/>
                <w:sz w:val="22"/>
              </w:rPr>
              <w:t>Q4 FY2025</w:t>
            </w:r>
          </w:p>
        </w:tc>
        <w:tc>
          <w:tcPr>
            <w:tcW w:type="dxa" w:w="1728"/>
          </w:tcPr>
          <w:p>
            <w:r>
              <w:rPr>
                <w:rFonts w:ascii="Calibri" w:hAnsi="Calibri"/>
                <w:sz w:val="22"/>
              </w:rPr>
              <w:t>$1.629</w:t>
            </w:r>
          </w:p>
        </w:tc>
        <w:tc>
          <w:tcPr>
            <w:tcW w:type="dxa" w:w="1728"/>
          </w:tcPr>
          <w:p>
            <w:r>
              <w:rPr>
                <w:rFonts w:ascii="Calibri" w:hAnsi="Calibri"/>
                <w:sz w:val="22"/>
              </w:rPr>
              <w:t>$1.616</w:t>
            </w:r>
          </w:p>
        </w:tc>
        <w:tc>
          <w:tcPr>
            <w:tcW w:type="dxa" w:w="1728"/>
          </w:tcPr>
          <w:p>
            <w:r>
              <w:rPr>
                <w:rFonts w:ascii="Calibri" w:hAnsi="Calibri"/>
                <w:b/>
                <w:color w:val="30A46C"/>
                <w:sz w:val="22"/>
              </w:rPr>
              <w:t>+0.8%</w:t>
            </w:r>
          </w:p>
        </w:tc>
        <w:tc>
          <w:tcPr>
            <w:tcW w:type="dxa" w:w="1728"/>
          </w:tcPr>
          <w:p>
            <w:r>
              <w:rPr>
                <w:rFonts w:ascii="Calibri" w:hAnsi="Calibri"/>
                <w:sz w:val="22"/>
              </w:rPr>
              <w:t>Beat</w:t>
            </w:r>
          </w:p>
        </w:tc>
      </w:tr>
      <w:tr>
        <w:tc>
          <w:tcPr>
            <w:tcW w:type="dxa" w:w="1728"/>
          </w:tcPr>
          <w:p>
            <w:r>
              <w:rPr>
                <w:rFonts w:ascii="Calibri" w:hAnsi="Calibri"/>
                <w:sz w:val="22"/>
              </w:rPr>
              <w:t>Q1 FY2026</w:t>
            </w:r>
          </w:p>
        </w:tc>
        <w:tc>
          <w:tcPr>
            <w:tcW w:type="dxa" w:w="1728"/>
          </w:tcPr>
          <w:p>
            <w:r>
              <w:rPr>
                <w:rFonts w:ascii="Calibri" w:hAnsi="Calibri"/>
                <w:sz w:val="22"/>
              </w:rPr>
              <w:t>$1.46</w:t>
            </w:r>
          </w:p>
        </w:tc>
        <w:tc>
          <w:tcPr>
            <w:tcW w:type="dxa" w:w="1728"/>
          </w:tcPr>
          <w:p>
            <w:r>
              <w:rPr>
                <w:rFonts w:ascii="Calibri" w:hAnsi="Calibri"/>
                <w:sz w:val="22"/>
              </w:rPr>
              <w:t>$1.409</w:t>
            </w:r>
          </w:p>
        </w:tc>
        <w:tc>
          <w:tcPr>
            <w:tcW w:type="dxa" w:w="1728"/>
          </w:tcPr>
          <w:p>
            <w:r>
              <w:rPr>
                <w:rFonts w:ascii="Calibri" w:hAnsi="Calibri"/>
                <w:b/>
                <w:color w:val="30A46C"/>
                <w:sz w:val="22"/>
              </w:rPr>
              <w:t>+3.6%</w:t>
            </w:r>
          </w:p>
        </w:tc>
        <w:tc>
          <w:tcPr>
            <w:tcW w:type="dxa" w:w="1728"/>
          </w:tcPr>
          <w:p>
            <w:r>
              <w:rPr>
                <w:rFonts w:ascii="Calibri" w:hAnsi="Calibri"/>
                <w:sz w:val="22"/>
              </w:rPr>
              <w:t>Beat</w:t>
            </w:r>
          </w:p>
        </w:tc>
      </w:tr>
      <w:tr>
        <w:tc>
          <w:tcPr>
            <w:tcW w:type="dxa" w:w="1728"/>
          </w:tcPr>
          <w:p>
            <w:r>
              <w:rPr>
                <w:rFonts w:ascii="Calibri" w:hAnsi="Calibri"/>
                <w:sz w:val="22"/>
              </w:rPr>
              <w:t>Q2 FY2026</w:t>
            </w:r>
          </w:p>
        </w:tc>
        <w:tc>
          <w:tcPr>
            <w:tcW w:type="dxa" w:w="1728"/>
          </w:tcPr>
          <w:p>
            <w:r>
              <w:rPr>
                <w:rFonts w:ascii="Calibri" w:hAnsi="Calibri"/>
                <w:sz w:val="22"/>
              </w:rPr>
              <w:t>$1.54</w:t>
            </w:r>
          </w:p>
        </w:tc>
        <w:tc>
          <w:tcPr>
            <w:tcW w:type="dxa" w:w="1728"/>
          </w:tcPr>
          <w:p>
            <w:r>
              <w:rPr>
                <w:rFonts w:ascii="Calibri" w:hAnsi="Calibri"/>
                <w:sz w:val="22"/>
              </w:rPr>
              <w:t>$1.531</w:t>
            </w:r>
          </w:p>
        </w:tc>
        <w:tc>
          <w:tcPr>
            <w:tcW w:type="dxa" w:w="1728"/>
          </w:tcPr>
          <w:p>
            <w:r>
              <w:rPr>
                <w:rFonts w:ascii="Calibri" w:hAnsi="Calibri"/>
                <w:b/>
                <w:color w:val="30A46C"/>
                <w:sz w:val="22"/>
              </w:rPr>
              <w:t>+0.6%</w:t>
            </w:r>
          </w:p>
        </w:tc>
        <w:tc>
          <w:tcPr>
            <w:tcW w:type="dxa" w:w="1728"/>
          </w:tcPr>
          <w:p>
            <w:r>
              <w:rPr>
                <w:rFonts w:ascii="Calibri" w:hAnsi="Calibri"/>
                <w:sz w:val="22"/>
              </w:rPr>
              <w:t>Beat</w:t>
            </w:r>
          </w:p>
        </w:tc>
      </w:tr>
    </w:tbl>
    <w:p>
      <w:pPr>
        <w:pStyle w:val="Heading3"/>
      </w:pPr>
      <w:r>
        <w:rPr>
          <w:rFonts w:ascii="Calibri" w:hAnsi="Calibri"/>
          <w:b/>
          <w:color w:val="3B4259"/>
          <w:sz w:val="24"/>
        </w:rPr>
        <w:t>Adj. Segment EBITA Margin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FY2024</w:t>
            </w:r>
          </w:p>
        </w:tc>
        <w:tc>
          <w:tcPr>
            <w:tcW w:type="dxa" w:w="1728"/>
          </w:tcPr>
          <w:p>
            <w:r>
              <w:rPr>
                <w:rFonts w:ascii="Calibri" w:hAnsi="Calibri"/>
                <w:sz w:val="22"/>
              </w:rPr>
              <w:t>26.4%</w:t>
            </w:r>
          </w:p>
        </w:tc>
        <w:tc>
          <w:tcPr>
            <w:tcW w:type="dxa" w:w="1728"/>
          </w:tcPr>
          <w:p>
            <w:r>
              <w:rPr>
                <w:rFonts w:ascii="Calibri" w:hAnsi="Calibri"/>
                <w:sz w:val="22"/>
              </w:rPr>
              <w:t>25.3%</w:t>
            </w:r>
          </w:p>
        </w:tc>
        <w:tc>
          <w:tcPr>
            <w:tcW w:type="dxa" w:w="1728"/>
          </w:tcPr>
          <w:p>
            <w:r>
              <w:rPr>
                <w:rFonts w:ascii="Calibri" w:hAnsi="Calibri"/>
                <w:b/>
                <w:color w:val="30A46C"/>
                <w:sz w:val="22"/>
              </w:rPr>
              <w:t>+114 bps</w:t>
            </w:r>
          </w:p>
        </w:tc>
        <w:tc>
          <w:tcPr>
            <w:tcW w:type="dxa" w:w="1728"/>
          </w:tcPr>
          <w:p>
            <w:r>
              <w:rPr>
                <w:rFonts w:ascii="Calibri" w:hAnsi="Calibri"/>
                <w:sz w:val="22"/>
              </w:rPr>
              <w:t>Beat</w:t>
            </w:r>
          </w:p>
        </w:tc>
      </w:tr>
      <w:tr>
        <w:tc>
          <w:tcPr>
            <w:tcW w:type="dxa" w:w="1728"/>
          </w:tcPr>
          <w:p>
            <w:r>
              <w:rPr>
                <w:rFonts w:ascii="Calibri" w:hAnsi="Calibri"/>
                <w:sz w:val="22"/>
              </w:rPr>
              <w:t>Q4 FY2024</w:t>
            </w:r>
          </w:p>
        </w:tc>
        <w:tc>
          <w:tcPr>
            <w:tcW w:type="dxa" w:w="1728"/>
          </w:tcPr>
          <w:p>
            <w:r>
              <w:rPr>
                <w:rFonts w:ascii="Calibri" w:hAnsi="Calibri"/>
                <w:sz w:val="22"/>
              </w:rPr>
              <w:t>24.6%</w:t>
            </w:r>
          </w:p>
        </w:tc>
        <w:tc>
          <w:tcPr>
            <w:tcW w:type="dxa" w:w="1728"/>
          </w:tcPr>
          <w:p>
            <w:r>
              <w:rPr>
                <w:rFonts w:ascii="Calibri" w:hAnsi="Calibri"/>
                <w:sz w:val="22"/>
              </w:rPr>
              <w:t>24.5%</w:t>
            </w:r>
          </w:p>
        </w:tc>
        <w:tc>
          <w:tcPr>
            <w:tcW w:type="dxa" w:w="1728"/>
          </w:tcPr>
          <w:p>
            <w:r>
              <w:rPr>
                <w:rFonts w:ascii="Calibri" w:hAnsi="Calibri"/>
                <w:b/>
                <w:color w:val="30A46C"/>
                <w:sz w:val="22"/>
              </w:rPr>
              <w:t>+5 bps</w:t>
            </w:r>
          </w:p>
        </w:tc>
        <w:tc>
          <w:tcPr>
            <w:tcW w:type="dxa" w:w="1728"/>
          </w:tcPr>
          <w:p>
            <w:r>
              <w:rPr>
                <w:rFonts w:ascii="Calibri" w:hAnsi="Calibri"/>
                <w:sz w:val="22"/>
              </w:rPr>
              <w:t>In-Line</w:t>
            </w:r>
          </w:p>
        </w:tc>
      </w:tr>
      <w:tr>
        <w:tc>
          <w:tcPr>
            <w:tcW w:type="dxa" w:w="1728"/>
          </w:tcPr>
          <w:p>
            <w:r>
              <w:rPr>
                <w:rFonts w:ascii="Calibri" w:hAnsi="Calibri"/>
                <w:sz w:val="22"/>
              </w:rPr>
              <w:t>Q1 FY2025</w:t>
            </w:r>
          </w:p>
        </w:tc>
        <w:tc>
          <w:tcPr>
            <w:tcW w:type="dxa" w:w="1728"/>
          </w:tcPr>
          <w:p>
            <w:r>
              <w:rPr>
                <w:rFonts w:ascii="Calibri" w:hAnsi="Calibri"/>
                <w:sz w:val="22"/>
              </w:rPr>
              <w:t>26.3%</w:t>
            </w:r>
          </w:p>
        </w:tc>
        <w:tc>
          <w:tcPr>
            <w:tcW w:type="dxa" w:w="1728"/>
          </w:tcPr>
          <w:p>
            <w:r>
              <w:rPr>
                <w:rFonts w:ascii="Calibri" w:hAnsi="Calibri"/>
                <w:sz w:val="22"/>
              </w:rPr>
              <w:t>23.9%</w:t>
            </w:r>
          </w:p>
        </w:tc>
        <w:tc>
          <w:tcPr>
            <w:tcW w:type="dxa" w:w="1728"/>
          </w:tcPr>
          <w:p>
            <w:r>
              <w:rPr>
                <w:rFonts w:ascii="Calibri" w:hAnsi="Calibri"/>
                <w:b/>
                <w:color w:val="30A46C"/>
                <w:sz w:val="22"/>
              </w:rPr>
              <w:t>+236 bps</w:t>
            </w:r>
          </w:p>
        </w:tc>
        <w:tc>
          <w:tcPr>
            <w:tcW w:type="dxa" w:w="1728"/>
          </w:tcPr>
          <w:p>
            <w:r>
              <w:rPr>
                <w:rFonts w:ascii="Calibri" w:hAnsi="Calibri"/>
                <w:sz w:val="22"/>
              </w:rPr>
              <w:t>Beat</w:t>
            </w:r>
          </w:p>
        </w:tc>
      </w:tr>
      <w:tr>
        <w:tc>
          <w:tcPr>
            <w:tcW w:type="dxa" w:w="1728"/>
          </w:tcPr>
          <w:p>
            <w:r>
              <w:rPr>
                <w:rFonts w:ascii="Calibri" w:hAnsi="Calibri"/>
                <w:sz w:val="22"/>
              </w:rPr>
              <w:t>Q2 FY2025</w:t>
            </w:r>
          </w:p>
        </w:tc>
        <w:tc>
          <w:tcPr>
            <w:tcW w:type="dxa" w:w="1728"/>
          </w:tcPr>
          <w:p>
            <w:r>
              <w:rPr>
                <w:rFonts w:ascii="Calibri" w:hAnsi="Calibri"/>
                <w:sz w:val="22"/>
              </w:rPr>
              <w:t>25.8%</w:t>
            </w:r>
          </w:p>
        </w:tc>
        <w:tc>
          <w:tcPr>
            <w:tcW w:type="dxa" w:w="1728"/>
          </w:tcPr>
          <w:p>
            <w:r>
              <w:rPr>
                <w:rFonts w:ascii="Calibri" w:hAnsi="Calibri"/>
                <w:sz w:val="22"/>
              </w:rPr>
              <w:t>25.2%</w:t>
            </w:r>
          </w:p>
        </w:tc>
        <w:tc>
          <w:tcPr>
            <w:tcW w:type="dxa" w:w="1728"/>
          </w:tcPr>
          <w:p>
            <w:r>
              <w:rPr>
                <w:rFonts w:ascii="Calibri" w:hAnsi="Calibri"/>
                <w:b/>
                <w:color w:val="30A46C"/>
                <w:sz w:val="22"/>
              </w:rPr>
              <w:t>+60 bps</w:t>
            </w:r>
          </w:p>
        </w:tc>
        <w:tc>
          <w:tcPr>
            <w:tcW w:type="dxa" w:w="1728"/>
          </w:tcPr>
          <w:p>
            <w:r>
              <w:rPr>
                <w:rFonts w:ascii="Calibri" w:hAnsi="Calibri"/>
                <w:sz w:val="22"/>
              </w:rPr>
              <w:t>Beat</w:t>
            </w:r>
          </w:p>
        </w:tc>
      </w:tr>
      <w:tr>
        <w:tc>
          <w:tcPr>
            <w:tcW w:type="dxa" w:w="1728"/>
          </w:tcPr>
          <w:p>
            <w:r>
              <w:rPr>
                <w:rFonts w:ascii="Calibri" w:hAnsi="Calibri"/>
                <w:sz w:val="22"/>
              </w:rPr>
              <w:t>Q3 FY2025</w:t>
            </w:r>
          </w:p>
        </w:tc>
        <w:tc>
          <w:tcPr>
            <w:tcW w:type="dxa" w:w="1728"/>
          </w:tcPr>
          <w:p>
            <w:r>
              <w:rPr>
                <w:rFonts w:ascii="Calibri" w:hAnsi="Calibri"/>
                <w:sz w:val="22"/>
              </w:rPr>
              <w:t>26.0%</w:t>
            </w:r>
          </w:p>
        </w:tc>
        <w:tc>
          <w:tcPr>
            <w:tcW w:type="dxa" w:w="1728"/>
          </w:tcPr>
          <w:p>
            <w:r>
              <w:rPr>
                <w:rFonts w:ascii="Calibri" w:hAnsi="Calibri"/>
                <w:sz w:val="22"/>
              </w:rPr>
              <w:t>26.0%</w:t>
            </w:r>
          </w:p>
        </w:tc>
        <w:tc>
          <w:tcPr>
            <w:tcW w:type="dxa" w:w="1728"/>
          </w:tcPr>
          <w:p>
            <w:r>
              <w:rPr>
                <w:rFonts w:ascii="Calibri" w:hAnsi="Calibri"/>
                <w:sz w:val="22"/>
              </w:rPr>
              <w:t>0 bps</w:t>
            </w:r>
          </w:p>
        </w:tc>
        <w:tc>
          <w:tcPr>
            <w:tcW w:type="dxa" w:w="1728"/>
          </w:tcPr>
          <w:p>
            <w:r>
              <w:rPr>
                <w:rFonts w:ascii="Calibri" w:hAnsi="Calibri"/>
                <w:sz w:val="22"/>
              </w:rPr>
              <w:t>In-Line</w:t>
            </w:r>
          </w:p>
        </w:tc>
      </w:tr>
      <w:tr>
        <w:tc>
          <w:tcPr>
            <w:tcW w:type="dxa" w:w="1728"/>
          </w:tcPr>
          <w:p>
            <w:r>
              <w:rPr>
                <w:rFonts w:ascii="Calibri" w:hAnsi="Calibri"/>
                <w:sz w:val="22"/>
              </w:rPr>
              <w:t>Q4 FY2025</w:t>
            </w:r>
          </w:p>
        </w:tc>
        <w:tc>
          <w:tcPr>
            <w:tcW w:type="dxa" w:w="1728"/>
          </w:tcPr>
          <w:p>
            <w:r>
              <w:rPr>
                <w:rFonts w:ascii="Calibri" w:hAnsi="Calibri"/>
                <w:sz w:val="22"/>
              </w:rPr>
              <w:t>26.2%</w:t>
            </w:r>
          </w:p>
        </w:tc>
        <w:tc>
          <w:tcPr>
            <w:tcW w:type="dxa" w:w="1728"/>
          </w:tcPr>
          <w:p>
            <w:r>
              <w:rPr>
                <w:rFonts w:ascii="Calibri" w:hAnsi="Calibri"/>
                <w:sz w:val="22"/>
              </w:rPr>
              <w:t>26.0%</w:t>
            </w:r>
          </w:p>
        </w:tc>
        <w:tc>
          <w:tcPr>
            <w:tcW w:type="dxa" w:w="1728"/>
          </w:tcPr>
          <w:p>
            <w:r>
              <w:rPr>
                <w:rFonts w:ascii="Calibri" w:hAnsi="Calibri"/>
                <w:b/>
                <w:color w:val="30A46C"/>
                <w:sz w:val="22"/>
              </w:rPr>
              <w:t>+18 bps</w:t>
            </w:r>
          </w:p>
        </w:tc>
        <w:tc>
          <w:tcPr>
            <w:tcW w:type="dxa" w:w="1728"/>
          </w:tcPr>
          <w:p>
            <w:r>
              <w:rPr>
                <w:rFonts w:ascii="Calibri" w:hAnsi="Calibri"/>
                <w:sz w:val="22"/>
              </w:rPr>
              <w:t>Beat</w:t>
            </w:r>
          </w:p>
        </w:tc>
      </w:tr>
      <w:tr>
        <w:tc>
          <w:tcPr>
            <w:tcW w:type="dxa" w:w="1728"/>
          </w:tcPr>
          <w:p>
            <w:r>
              <w:rPr>
                <w:rFonts w:ascii="Calibri" w:hAnsi="Calibri"/>
                <w:sz w:val="22"/>
              </w:rPr>
              <w:t>Q1 FY2026</w:t>
            </w:r>
          </w:p>
        </w:tc>
        <w:tc>
          <w:tcPr>
            <w:tcW w:type="dxa" w:w="1728"/>
          </w:tcPr>
          <w:p>
            <w:r>
              <w:rPr>
                <w:rFonts w:ascii="Calibri" w:hAnsi="Calibri"/>
                <w:sz w:val="22"/>
              </w:rPr>
              <w:t>26.3%</w:t>
            </w:r>
          </w:p>
        </w:tc>
        <w:tc>
          <w:tcPr>
            <w:tcW w:type="dxa" w:w="1728"/>
          </w:tcPr>
          <w:p>
            <w:r>
              <w:rPr>
                <w:rFonts w:ascii="Calibri" w:hAnsi="Calibri"/>
                <w:sz w:val="22"/>
              </w:rPr>
              <w:t>25.7%</w:t>
            </w:r>
          </w:p>
        </w:tc>
        <w:tc>
          <w:tcPr>
            <w:tcW w:type="dxa" w:w="1728"/>
          </w:tcPr>
          <w:p>
            <w:r>
              <w:rPr>
                <w:rFonts w:ascii="Calibri" w:hAnsi="Calibri"/>
                <w:b/>
                <w:color w:val="30A46C"/>
                <w:sz w:val="22"/>
              </w:rPr>
              <w:t>+59 bps</w:t>
            </w:r>
          </w:p>
        </w:tc>
        <w:tc>
          <w:tcPr>
            <w:tcW w:type="dxa" w:w="1728"/>
          </w:tcPr>
          <w:p>
            <w:r>
              <w:rPr>
                <w:rFonts w:ascii="Calibri" w:hAnsi="Calibri"/>
                <w:sz w:val="22"/>
              </w:rPr>
              <w:t>Beat</w:t>
            </w:r>
          </w:p>
        </w:tc>
      </w:tr>
      <w:tr>
        <w:tc>
          <w:tcPr>
            <w:tcW w:type="dxa" w:w="1728"/>
          </w:tcPr>
          <w:p>
            <w:r>
              <w:rPr>
                <w:rFonts w:ascii="Calibri" w:hAnsi="Calibri"/>
                <w:sz w:val="22"/>
              </w:rPr>
              <w:t>Q2 FY2026</w:t>
            </w:r>
          </w:p>
        </w:tc>
        <w:tc>
          <w:tcPr>
            <w:tcW w:type="dxa" w:w="1728"/>
          </w:tcPr>
          <w:p>
            <w:r>
              <w:rPr>
                <w:rFonts w:ascii="Calibri" w:hAnsi="Calibri"/>
                <w:sz w:val="22"/>
              </w:rPr>
              <w:t>26.2% (27.6% adj. EBITDA)</w:t>
            </w:r>
          </w:p>
        </w:tc>
        <w:tc>
          <w:tcPr>
            <w:tcW w:type="dxa" w:w="1728"/>
          </w:tcPr>
          <w:p>
            <w:r>
              <w:rPr>
                <w:rFonts w:ascii="Calibri" w:hAnsi="Calibri"/>
                <w:sz w:val="22"/>
              </w:rPr>
              <w:t>25.8%</w:t>
            </w:r>
          </w:p>
        </w:tc>
        <w:tc>
          <w:tcPr>
            <w:tcW w:type="dxa" w:w="1728"/>
          </w:tcPr>
          <w:p>
            <w:r>
              <w:rPr>
                <w:rFonts w:ascii="Calibri" w:hAnsi="Calibri"/>
                <w:b/>
                <w:color w:val="30A46C"/>
                <w:sz w:val="22"/>
              </w:rPr>
              <w:t>+39 bps</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EMR has beaten adjusted EPS consensus in 7 of the last 8 quarters, with the one in-line quarter (Q3 FY2025) still meeting expectations exactly; margin beats have been consistent, with the largest upside in Q1 FY2025 (+236 bps) when the software renewal dynamic was first absorbed. 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Guidance has been stable-to-positive since the May 5 earnings call — the EPS floor was raised and Q3 margin guidance of ~28% is well above current consensus; tone has shifted more confident on power/LNG/T&amp;M while incrementally more cautious on China (now mid-single-digit decline vs. prior low-single-digit).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(Q2 FY2026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Q3 FY2026 Net Sales Growth</w:t>
            </w:r>
          </w:p>
        </w:tc>
        <w:tc>
          <w:tcPr>
            <w:tcW w:type="dxa" w:w="1728"/>
          </w:tcPr>
          <w:p>
            <w:r>
              <w:rPr>
                <w:rFonts w:ascii="Calibri" w:hAnsi="Calibri"/>
                <w:sz w:val="22"/>
              </w:rPr>
              <w:t>~5.5% total; ~5% underlying</w:t>
            </w:r>
          </w:p>
        </w:tc>
        <w:tc>
          <w:tcPr>
            <w:tcW w:type="dxa" w:w="1728"/>
          </w:tcPr>
          <w:p>
            <w:r>
              <w:rPr>
                <w:rFonts w:ascii="Calibri" w:hAnsi="Calibri"/>
                <w:sz w:val="22"/>
              </w:rPr>
              <w:t>—</w:t>
            </w:r>
          </w:p>
        </w:tc>
        <w:tc>
          <w:tcPr>
            <w:tcW w:type="dxa" w:w="1728"/>
          </w:tcPr>
          <w:p>
            <w:r>
              <w:rPr>
                <w:rFonts w:ascii="Calibri" w:hAnsi="Calibri"/>
                <w:sz w:val="22"/>
              </w:rPr>
              <w:t>+5.4% YoY (implied from $4.801B consensus)</w:t>
            </w:r>
          </w:p>
        </w:tc>
        <w:tc>
          <w:tcPr>
            <w:tcW w:type="dxa" w:w="1728"/>
          </w:tcPr>
          <w:p>
            <w:r>
              <w:rPr>
                <w:rFonts w:ascii="Calibri" w:hAnsi="Calibri"/>
                <w:sz w:val="22"/>
              </w:rPr>
              <w:t>Unchanged; consensus in-line with guidance</w:t>
            </w:r>
          </w:p>
        </w:tc>
      </w:tr>
      <w:tr>
        <w:tc>
          <w:tcPr>
            <w:tcW w:type="dxa" w:w="1728"/>
          </w:tcPr>
          <w:p>
            <w:r>
              <w:rPr>
                <w:rFonts w:ascii="Calibri" w:hAnsi="Calibri"/>
                <w:sz w:val="22"/>
              </w:rPr>
              <w:t>Q3 FY2026 Adj. Segment EBITA Margin</w:t>
            </w:r>
          </w:p>
        </w:tc>
        <w:tc>
          <w:tcPr>
            <w:tcW w:type="dxa" w:w="1728"/>
          </w:tcPr>
          <w:p>
            <w:r>
              <w:rPr>
                <w:rFonts w:ascii="Calibri" w:hAnsi="Calibri"/>
                <w:sz w:val="22"/>
              </w:rPr>
              <w:t>~28%</w:t>
            </w:r>
          </w:p>
        </w:tc>
        <w:tc>
          <w:tcPr>
            <w:tcW w:type="dxa" w:w="1728"/>
          </w:tcPr>
          <w:p>
            <w:r>
              <w:rPr>
                <w:rFonts w:ascii="Calibri" w:hAnsi="Calibri"/>
                <w:sz w:val="22"/>
              </w:rPr>
              <w:t>—</w:t>
            </w:r>
          </w:p>
        </w:tc>
        <w:tc>
          <w:tcPr>
            <w:tcW w:type="dxa" w:w="1728"/>
          </w:tcPr>
          <w:p>
            <w:r>
              <w:rPr>
                <w:rFonts w:ascii="Calibri" w:hAnsi="Calibri"/>
                <w:sz w:val="22"/>
              </w:rPr>
              <w:t>26.6%</w:t>
            </w:r>
          </w:p>
        </w:tc>
        <w:tc>
          <w:tcPr>
            <w:tcW w:type="dxa" w:w="1728"/>
          </w:tcPr>
          <w:p>
            <w:r>
              <w:rPr>
                <w:rFonts w:ascii="Calibri" w:hAnsi="Calibri"/>
                <w:sz w:val="22"/>
              </w:rPr>
              <w:t>Unchanged; consensus 140 bps below guidance — significant potential upside if mgmt delivers</w:t>
            </w:r>
          </w:p>
        </w:tc>
      </w:tr>
      <w:tr>
        <w:tc>
          <w:tcPr>
            <w:tcW w:type="dxa" w:w="1728"/>
          </w:tcPr>
          <w:p>
            <w:r>
              <w:rPr>
                <w:rFonts w:ascii="Calibri" w:hAnsi="Calibri"/>
                <w:sz w:val="22"/>
              </w:rPr>
              <w:t>Q3 FY2026 Adj. EPS</w:t>
            </w:r>
          </w:p>
        </w:tc>
        <w:tc>
          <w:tcPr>
            <w:tcW w:type="dxa" w:w="1728"/>
          </w:tcPr>
          <w:p>
            <w:r>
              <w:rPr>
                <w:rFonts w:ascii="Calibri" w:hAnsi="Calibri"/>
                <w:sz w:val="22"/>
              </w:rPr>
              <w:t>$1.65–$1.70 ($1.675 mid)</w:t>
            </w:r>
          </w:p>
        </w:tc>
        <w:tc>
          <w:tcPr>
            <w:tcW w:type="dxa" w:w="1728"/>
          </w:tcPr>
          <w:p>
            <w:r>
              <w:rPr>
                <w:rFonts w:ascii="Calibri" w:hAnsi="Calibri"/>
                <w:sz w:val="22"/>
              </w:rPr>
              <w:t>—</w:t>
            </w:r>
          </w:p>
        </w:tc>
        <w:tc>
          <w:tcPr>
            <w:tcW w:type="dxa" w:w="1728"/>
          </w:tcPr>
          <w:p>
            <w:r>
              <w:rPr>
                <w:rFonts w:ascii="Calibri" w:hAnsi="Calibri"/>
                <w:sz w:val="22"/>
              </w:rPr>
              <w:t>$1.677</w:t>
            </w:r>
          </w:p>
        </w:tc>
        <w:tc>
          <w:tcPr>
            <w:tcW w:type="dxa" w:w="1728"/>
          </w:tcPr>
          <w:p>
            <w:r>
              <w:rPr>
                <w:rFonts w:ascii="Calibri" w:hAnsi="Calibri"/>
                <w:sz w:val="22"/>
              </w:rPr>
              <w:t>Unchanged; consensus at midpoint</w:t>
            </w:r>
          </w:p>
        </w:tc>
      </w:tr>
      <w:tr>
        <w:tc>
          <w:tcPr>
            <w:tcW w:type="dxa" w:w="1728"/>
          </w:tcPr>
          <w:p>
            <w:r>
              <w:rPr>
                <w:rFonts w:ascii="Calibri" w:hAnsi="Calibri"/>
                <w:sz w:val="22"/>
              </w:rPr>
              <w:t>FY2026 Net Sales Growth</w:t>
            </w:r>
          </w:p>
        </w:tc>
        <w:tc>
          <w:tcPr>
            <w:tcW w:type="dxa" w:w="1728"/>
          </w:tcPr>
          <w:p>
            <w:r>
              <w:rPr>
                <w:rFonts w:ascii="Calibri" w:hAnsi="Calibri"/>
                <w:sz w:val="22"/>
              </w:rPr>
              <w:t>~4.5% total; ~3% underlying</w:t>
            </w:r>
          </w:p>
        </w:tc>
        <w:tc>
          <w:tcPr>
            <w:tcW w:type="dxa" w:w="1728"/>
          </w:tcPr>
          <w:p>
            <w:r>
              <w:rPr>
                <w:rFonts w:ascii="Calibri" w:hAnsi="Calibri"/>
                <w:sz w:val="22"/>
              </w:rPr>
              <w:t>—</w:t>
            </w:r>
          </w:p>
        </w:tc>
        <w:tc>
          <w:tcPr>
            <w:tcW w:type="dxa" w:w="1728"/>
          </w:tcPr>
          <w:p>
            <w:r>
              <w:rPr>
                <w:rFonts w:ascii="Calibri" w:hAnsi="Calibri"/>
                <w:sz w:val="22"/>
              </w:rPr>
              <w:t>~3.0% organic (FY consensus)</w:t>
            </w:r>
          </w:p>
        </w:tc>
        <w:tc>
          <w:tcPr>
            <w:tcW w:type="dxa" w:w="1728"/>
          </w:tcPr>
          <w:p>
            <w:r>
              <w:rPr>
                <w:rFonts w:ascii="Calibri" w:hAnsi="Calibri"/>
                <w:sz w:val="22"/>
              </w:rPr>
              <w:t>Unchanged; reflects 1-pt Middle East headwind embedded</w:t>
            </w:r>
          </w:p>
        </w:tc>
      </w:tr>
      <w:tr>
        <w:tc>
          <w:tcPr>
            <w:tcW w:type="dxa" w:w="1728"/>
          </w:tcPr>
          <w:p>
            <w:r>
              <w:rPr>
                <w:rFonts w:ascii="Calibri" w:hAnsi="Calibri"/>
                <w:sz w:val="22"/>
              </w:rPr>
              <w:t>FY2026 Adj. Segment EBITA Margin</w:t>
            </w:r>
          </w:p>
        </w:tc>
        <w:tc>
          <w:tcPr>
            <w:tcW w:type="dxa" w:w="1728"/>
          </w:tcPr>
          <w:p>
            <w:r>
              <w:rPr>
                <w:rFonts w:ascii="Calibri" w:hAnsi="Calibri"/>
                <w:sz w:val="22"/>
              </w:rPr>
              <w:t>~28%</w:t>
            </w:r>
          </w:p>
        </w:tc>
        <w:tc>
          <w:tcPr>
            <w:tcW w:type="dxa" w:w="1728"/>
          </w:tcPr>
          <w:p>
            <w:r>
              <w:rPr>
                <w:rFonts w:ascii="Calibri" w:hAnsi="Calibri"/>
                <w:sz w:val="22"/>
              </w:rPr>
              <w:t>—</w:t>
            </w:r>
          </w:p>
        </w:tc>
        <w:tc>
          <w:tcPr>
            <w:tcW w:type="dxa" w:w="1728"/>
          </w:tcPr>
          <w:p>
            <w:r>
              <w:rPr>
                <w:rFonts w:ascii="Calibri" w:hAnsi="Calibri"/>
                <w:sz w:val="22"/>
              </w:rPr>
              <w:t>26.5%</w:t>
            </w:r>
          </w:p>
        </w:tc>
        <w:tc>
          <w:tcPr>
            <w:tcW w:type="dxa" w:w="1728"/>
          </w:tcPr>
          <w:p>
            <w:r>
              <w:rPr>
                <w:rFonts w:ascii="Calibri" w:hAnsi="Calibri"/>
                <w:sz w:val="22"/>
              </w:rPr>
              <w:t>Unchanged; consensus below guidance, consistent with H1 drag</w:t>
            </w:r>
          </w:p>
        </w:tc>
      </w:tr>
      <w:tr>
        <w:tc>
          <w:tcPr>
            <w:tcW w:type="dxa" w:w="1728"/>
          </w:tcPr>
          <w:p>
            <w:r>
              <w:rPr>
                <w:rFonts w:ascii="Calibri" w:hAnsi="Calibri"/>
                <w:sz w:val="22"/>
              </w:rPr>
              <w:t>FY2026 Adj. EPS</w:t>
            </w:r>
          </w:p>
        </w:tc>
        <w:tc>
          <w:tcPr>
            <w:tcW w:type="dxa" w:w="1728"/>
          </w:tcPr>
          <w:p>
            <w:r>
              <w:rPr>
                <w:rFonts w:ascii="Calibri" w:hAnsi="Calibri"/>
                <w:sz w:val="22"/>
              </w:rPr>
              <w:t>$6.45–$6.55 (raised bottom &amp; midpoint)</w:t>
            </w:r>
          </w:p>
        </w:tc>
        <w:tc>
          <w:tcPr>
            <w:tcW w:type="dxa" w:w="1728"/>
          </w:tcPr>
          <w:p>
            <w:r>
              <w:rPr>
                <w:rFonts w:ascii="Calibri" w:hAnsi="Calibri"/>
                <w:sz w:val="22"/>
              </w:rPr>
              <w:t>—</w:t>
            </w:r>
          </w:p>
        </w:tc>
        <w:tc>
          <w:tcPr>
            <w:tcW w:type="dxa" w:w="1728"/>
          </w:tcPr>
          <w:p>
            <w:r>
              <w:rPr>
                <w:rFonts w:ascii="Calibri" w:hAnsi="Calibri"/>
                <w:sz w:val="22"/>
              </w:rPr>
              <w:t>$6.502</w:t>
            </w:r>
          </w:p>
        </w:tc>
        <w:tc>
          <w:tcPr>
            <w:tcW w:type="dxa" w:w="1728"/>
          </w:tcPr>
          <w:p>
            <w:r>
              <w:rPr>
                <w:rFonts w:ascii="Calibri" w:hAnsi="Calibri"/>
                <w:sz w:val="22"/>
              </w:rPr>
              <w:t>↑ Raised at Q2 earnings (May 5); consensus at midpoint</w:t>
            </w:r>
          </w:p>
        </w:tc>
      </w:tr>
      <w:tr>
        <w:tc>
          <w:tcPr>
            <w:tcW w:type="dxa" w:w="1728"/>
          </w:tcPr>
          <w:p>
            <w:r>
              <w:rPr>
                <w:rFonts w:ascii="Calibri" w:hAnsi="Calibri"/>
                <w:sz w:val="22"/>
              </w:rPr>
              <w:t>FY2026 Free Cash Flow</w:t>
            </w:r>
          </w:p>
        </w:tc>
        <w:tc>
          <w:tcPr>
            <w:tcW w:type="dxa" w:w="1728"/>
          </w:tcPr>
          <w:p>
            <w:r>
              <w:rPr>
                <w:rFonts w:ascii="Calibri" w:hAnsi="Calibri"/>
                <w:sz w:val="22"/>
              </w:rPr>
              <w:t>$3.5B–$3.6B; &gt;18% FCF margin</w:t>
            </w:r>
          </w:p>
        </w:tc>
        <w:tc>
          <w:tcPr>
            <w:tcW w:type="dxa" w:w="1728"/>
          </w:tcPr>
          <w:p>
            <w:r>
              <w:rPr>
                <w:rFonts w:ascii="Calibri" w:hAnsi="Calibri"/>
                <w:sz w:val="22"/>
              </w:rPr>
              <w:t>—</w:t>
            </w:r>
          </w:p>
        </w:tc>
        <w:tc>
          <w:tcPr>
            <w:tcW w:type="dxa" w:w="1728"/>
          </w:tcPr>
          <w:p>
            <w:r>
              <w:rPr>
                <w:rFonts w:ascii="Calibri" w:hAnsi="Calibri"/>
                <w:sz w:val="22"/>
              </w:rPr>
              <w:t>$3.504B</w:t>
            </w:r>
          </w:p>
        </w:tc>
        <w:tc>
          <w:tcPr>
            <w:tcW w:type="dxa" w:w="1728"/>
          </w:tcPr>
          <w:p>
            <w:r>
              <w:rPr>
                <w:rFonts w:ascii="Calibri" w:hAnsi="Calibri"/>
                <w:sz w:val="22"/>
              </w:rPr>
              <w:t>Unchanged; consensus at low end of range</w:t>
            </w:r>
          </w:p>
        </w:tc>
      </w:tr>
      <w:tr>
        <w:tc>
          <w:tcPr>
            <w:tcW w:type="dxa" w:w="1728"/>
          </w:tcPr>
          <w:p>
            <w:r>
              <w:rPr>
                <w:rFonts w:ascii="Calibri" w:hAnsi="Calibri"/>
                <w:sz w:val="22"/>
              </w:rPr>
              <w:t>T&amp;M Full-Year Growth</w:t>
            </w:r>
          </w:p>
        </w:tc>
        <w:tc>
          <w:tcPr>
            <w:tcW w:type="dxa" w:w="1728"/>
          </w:tcPr>
          <w:p>
            <w:r>
              <w:rPr>
                <w:rFonts w:ascii="Calibri" w:hAnsi="Calibri"/>
                <w:sz w:val="22"/>
              </w:rPr>
              <w:t>Low teens (raised from high single digits)</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 Raised at Q2 earnings; driven by semis, aerospace/defense, data center</w:t>
            </w:r>
          </w:p>
        </w:tc>
      </w:tr>
      <w:tr>
        <w:tc>
          <w:tcPr>
            <w:tcW w:type="dxa" w:w="1728"/>
          </w:tcPr>
          <w:p>
            <w:r>
              <w:rPr>
                <w:rFonts w:ascii="Calibri" w:hAnsi="Calibri"/>
                <w:sz w:val="22"/>
              </w:rPr>
              <w:t>China Full-Year Growth</w:t>
            </w:r>
          </w:p>
        </w:tc>
        <w:tc>
          <w:tcPr>
            <w:tcW w:type="dxa" w:w="1728"/>
          </w:tcPr>
          <w:p>
            <w:r>
              <w:rPr>
                <w:rFonts w:ascii="Calibri" w:hAnsi="Calibri"/>
                <w:sz w:val="22"/>
              </w:rPr>
              <w:t>Down mid-single digits (worsened from down low-single digits)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 Lowered at Q2 earnings; chemical sector overcapacity worsening</w:t>
            </w:r>
          </w:p>
        </w:tc>
      </w:tr>
    </w:tbl>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been essentially flat since the May 5 print — Q3 EPS moved only +$0.003 and FY2026 EPS +$0.005 — indicating the Street has anchored to guidance rather than building in incremental upside; the 140 bps gap between consensus and management's Q3 margin guidance is the most notable divergence and represents the clearest potential source of a positive surprise.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Earnings (as of 5/10/26)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Net Sales — Q3 FY2026</w:t>
            </w:r>
          </w:p>
        </w:tc>
        <w:tc>
          <w:tcPr>
            <w:tcW w:type="dxa" w:w="1080"/>
          </w:tcPr>
          <w:p>
            <w:r>
              <w:rPr>
                <w:rFonts w:ascii="Calibri" w:hAnsi="Calibri"/>
                <w:sz w:val="22"/>
              </w:rPr>
              <w:t>$4.804B</w:t>
            </w:r>
          </w:p>
        </w:tc>
        <w:tc>
          <w:tcPr>
            <w:tcW w:type="dxa" w:w="1080"/>
          </w:tcPr>
          <w:p>
            <w:r>
              <w:rPr>
                <w:rFonts w:ascii="Calibri" w:hAnsi="Calibri"/>
                <w:sz w:val="22"/>
              </w:rPr>
              <w:t>$4.801B</w:t>
            </w:r>
          </w:p>
        </w:tc>
        <w:tc>
          <w:tcPr>
            <w:tcW w:type="dxa" w:w="1080"/>
          </w:tcPr>
          <w:p>
            <w:r>
              <w:rPr>
                <w:rFonts w:ascii="Calibri" w:hAnsi="Calibri"/>
                <w:sz w:val="22"/>
              </w:rPr>
              <w:t>-0.1%</w:t>
            </w:r>
          </w:p>
        </w:tc>
        <w:tc>
          <w:tcPr>
            <w:tcW w:type="dxa" w:w="1080"/>
          </w:tcPr>
          <w:p>
            <w:r>
              <w:rPr>
                <w:rFonts w:ascii="Calibri" w:hAnsi="Calibri"/>
                <w:sz w:val="22"/>
              </w:rPr>
              <w:t>~5.5% total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w:t>
            </w:r>
          </w:p>
        </w:tc>
      </w:tr>
      <w:tr>
        <w:tc>
          <w:tcPr>
            <w:tcW w:type="dxa" w:w="1080"/>
          </w:tcPr>
          <w:p>
            <w:r>
              <w:rPr>
                <w:rFonts w:ascii="Calibri" w:hAnsi="Calibri"/>
                <w:sz w:val="22"/>
              </w:rPr>
              <w:t>Adj. EPS — Q3 FY2026</w:t>
            </w:r>
          </w:p>
        </w:tc>
        <w:tc>
          <w:tcPr>
            <w:tcW w:type="dxa" w:w="1080"/>
          </w:tcPr>
          <w:p>
            <w:r>
              <w:rPr>
                <w:rFonts w:ascii="Calibri" w:hAnsi="Calibri"/>
                <w:sz w:val="22"/>
              </w:rPr>
              <w:t>$1.674</w:t>
            </w:r>
          </w:p>
        </w:tc>
        <w:tc>
          <w:tcPr>
            <w:tcW w:type="dxa" w:w="1080"/>
          </w:tcPr>
          <w:p>
            <w:r>
              <w:rPr>
                <w:rFonts w:ascii="Calibri" w:hAnsi="Calibri"/>
                <w:sz w:val="22"/>
              </w:rPr>
              <w:t>$1.677</w:t>
            </w:r>
          </w:p>
        </w:tc>
        <w:tc>
          <w:tcPr>
            <w:tcW w:type="dxa" w:w="1080"/>
          </w:tcPr>
          <w:p>
            <w:r>
              <w:rPr>
                <w:rFonts w:ascii="Calibri" w:hAnsi="Calibri"/>
                <w:sz w:val="22"/>
              </w:rPr>
              <w:t>+0.2%</w:t>
            </w:r>
          </w:p>
        </w:tc>
        <w:tc>
          <w:tcPr>
            <w:tcW w:type="dxa" w:w="1080"/>
          </w:tcPr>
          <w:p>
            <w:r>
              <w:rPr>
                <w:rFonts w:ascii="Calibri" w:hAnsi="Calibri"/>
                <w:sz w:val="22"/>
              </w:rPr>
              <w:t>$1.65–$1.70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vs. $1.675 mid</w:t>
            </w:r>
          </w:p>
        </w:tc>
      </w:tr>
      <w:tr>
        <w:tc>
          <w:tcPr>
            <w:tcW w:type="dxa" w:w="1080"/>
          </w:tcPr>
          <w:p>
            <w:r>
              <w:rPr>
                <w:rFonts w:ascii="Calibri" w:hAnsi="Calibri"/>
                <w:sz w:val="22"/>
              </w:rPr>
              <w:t>Adj. EBITA Margin — Q3 FY2026</w:t>
            </w:r>
          </w:p>
        </w:tc>
        <w:tc>
          <w:tcPr>
            <w:tcW w:type="dxa" w:w="1080"/>
          </w:tcPr>
          <w:p>
            <w:r>
              <w:rPr>
                <w:rFonts w:ascii="Calibri" w:hAnsi="Calibri"/>
                <w:sz w:val="22"/>
              </w:rPr>
              <w:t>26.6%</w:t>
            </w:r>
          </w:p>
        </w:tc>
        <w:tc>
          <w:tcPr>
            <w:tcW w:type="dxa" w:w="1080"/>
          </w:tcPr>
          <w:p>
            <w:r>
              <w:rPr>
                <w:rFonts w:ascii="Calibri" w:hAnsi="Calibri"/>
                <w:sz w:val="22"/>
              </w:rPr>
              <w:t>26.6%</w:t>
            </w:r>
          </w:p>
        </w:tc>
        <w:tc>
          <w:tcPr>
            <w:tcW w:type="dxa" w:w="1080"/>
          </w:tcPr>
          <w:p>
            <w:r>
              <w:rPr>
                <w:rFonts w:ascii="Calibri" w:hAnsi="Calibri"/>
                <w:sz w:val="22"/>
              </w:rPr>
              <w:t>0 bps</w:t>
            </w:r>
          </w:p>
        </w:tc>
        <w:tc>
          <w:tcPr>
            <w:tcW w:type="dxa" w:w="1080"/>
          </w:tcPr>
          <w:p>
            <w:r>
              <w:rPr>
                <w:rFonts w:ascii="Calibri" w:hAnsi="Calibri"/>
                <w:sz w:val="22"/>
              </w:rPr>
              <w:t>~28%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-140 bps below guidance</w:t>
            </w:r>
          </w:p>
        </w:tc>
      </w:tr>
      <w:tr>
        <w:tc>
          <w:tcPr>
            <w:tcW w:type="dxa" w:w="1080"/>
          </w:tcPr>
          <w:p>
            <w:r>
              <w:rPr>
                <w:rFonts w:ascii="Calibri" w:hAnsi="Calibri"/>
                <w:sz w:val="22"/>
              </w:rPr>
              <w:t>Net Sales — FY2026</w:t>
            </w:r>
          </w:p>
        </w:tc>
        <w:tc>
          <w:tcPr>
            <w:tcW w:type="dxa" w:w="1080"/>
          </w:tcPr>
          <w:p>
            <w:r>
              <w:rPr>
                <w:rFonts w:ascii="Calibri" w:hAnsi="Calibri"/>
                <w:sz w:val="22"/>
              </w:rPr>
              <w:t>$18.828B</w:t>
            </w:r>
          </w:p>
        </w:tc>
        <w:tc>
          <w:tcPr>
            <w:tcW w:type="dxa" w:w="1080"/>
          </w:tcPr>
          <w:p>
            <w:r>
              <w:rPr>
                <w:rFonts w:ascii="Calibri" w:hAnsi="Calibri"/>
                <w:sz w:val="22"/>
              </w:rPr>
              <w:t>$18.819B</w:t>
            </w:r>
          </w:p>
        </w:tc>
        <w:tc>
          <w:tcPr>
            <w:tcW w:type="dxa" w:w="1080"/>
          </w:tcPr>
          <w:p>
            <w:r>
              <w:rPr>
                <w:rFonts w:ascii="Calibri" w:hAnsi="Calibri"/>
                <w:sz w:val="22"/>
              </w:rPr>
              <w:t>-0.1%</w:t>
            </w:r>
          </w:p>
        </w:tc>
        <w:tc>
          <w:tcPr>
            <w:tcW w:type="dxa" w:w="1080"/>
          </w:tcPr>
          <w:p>
            <w:r>
              <w:rPr>
                <w:rFonts w:ascii="Calibri" w:hAnsi="Calibri"/>
                <w:sz w:val="22"/>
              </w:rPr>
              <w:t>~4.5% total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w:t>
            </w:r>
          </w:p>
        </w:tc>
      </w:tr>
      <w:tr>
        <w:tc>
          <w:tcPr>
            <w:tcW w:type="dxa" w:w="1080"/>
          </w:tcPr>
          <w:p>
            <w:r>
              <w:rPr>
                <w:rFonts w:ascii="Calibri" w:hAnsi="Calibri"/>
                <w:sz w:val="22"/>
              </w:rPr>
              <w:t>Adj. EPS — FY2026</w:t>
            </w:r>
          </w:p>
        </w:tc>
        <w:tc>
          <w:tcPr>
            <w:tcW w:type="dxa" w:w="1080"/>
          </w:tcPr>
          <w:p>
            <w:r>
              <w:rPr>
                <w:rFonts w:ascii="Calibri" w:hAnsi="Calibri"/>
                <w:sz w:val="22"/>
              </w:rPr>
              <w:t>$6.497</w:t>
            </w:r>
          </w:p>
        </w:tc>
        <w:tc>
          <w:tcPr>
            <w:tcW w:type="dxa" w:w="1080"/>
          </w:tcPr>
          <w:p>
            <w:r>
              <w:rPr>
                <w:rFonts w:ascii="Calibri" w:hAnsi="Calibri"/>
                <w:sz w:val="22"/>
              </w:rPr>
              <w:t>$6.502</w:t>
            </w:r>
          </w:p>
        </w:tc>
        <w:tc>
          <w:tcPr>
            <w:tcW w:type="dxa" w:w="1080"/>
          </w:tcPr>
          <w:p>
            <w:r>
              <w:rPr>
                <w:rFonts w:ascii="Calibri" w:hAnsi="Calibri"/>
                <w:sz w:val="22"/>
              </w:rPr>
              <w:t>+0.1%</w:t>
            </w:r>
          </w:p>
        </w:tc>
        <w:tc>
          <w:tcPr>
            <w:tcW w:type="dxa" w:w="1080"/>
          </w:tcPr>
          <w:p>
            <w:r>
              <w:rPr>
                <w:rFonts w:ascii="Calibri" w:hAnsi="Calibri"/>
                <w:sz w:val="22"/>
              </w:rPr>
              <w:t>$6.45–$6.55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+0.0% vs. $6.50 mid</w:t>
            </w:r>
          </w:p>
        </w:tc>
      </w:tr>
      <w:tr>
        <w:tc>
          <w:tcPr>
            <w:tcW w:type="dxa" w:w="1080"/>
          </w:tcPr>
          <w:p>
            <w:r>
              <w:rPr>
                <w:rFonts w:ascii="Calibri" w:hAnsi="Calibri"/>
                <w:sz w:val="22"/>
              </w:rPr>
              <w:t>Adj. EBITA Margin — FY2026</w:t>
            </w:r>
          </w:p>
        </w:tc>
        <w:tc>
          <w:tcPr>
            <w:tcW w:type="dxa" w:w="1080"/>
          </w:tcPr>
          <w:p>
            <w:r>
              <w:rPr>
                <w:rFonts w:ascii="Calibri" w:hAnsi="Calibri"/>
                <w:sz w:val="22"/>
              </w:rPr>
              <w:t>26.5%</w:t>
            </w:r>
          </w:p>
        </w:tc>
        <w:tc>
          <w:tcPr>
            <w:tcW w:type="dxa" w:w="1080"/>
          </w:tcPr>
          <w:p>
            <w:r>
              <w:rPr>
                <w:rFonts w:ascii="Calibri" w:hAnsi="Calibri"/>
                <w:sz w:val="22"/>
              </w:rPr>
              <w:t>26.5%</w:t>
            </w:r>
          </w:p>
        </w:tc>
        <w:tc>
          <w:tcPr>
            <w:tcW w:type="dxa" w:w="1080"/>
          </w:tcPr>
          <w:p>
            <w:r>
              <w:rPr>
                <w:rFonts w:ascii="Calibri" w:hAnsi="Calibri"/>
                <w:sz w:val="22"/>
              </w:rPr>
              <w:t>0 bps</w:t>
            </w:r>
          </w:p>
        </w:tc>
        <w:tc>
          <w:tcPr>
            <w:tcW w:type="dxa" w:w="1080"/>
          </w:tcPr>
          <w:p>
            <w:r>
              <w:rPr>
                <w:rFonts w:ascii="Calibri" w:hAnsi="Calibri"/>
                <w:sz w:val="22"/>
              </w:rPr>
              <w:t>~28%</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-150 bps below guidance</w:t>
            </w:r>
          </w:p>
        </w:tc>
      </w:tr>
      <w:tr>
        <w:tc>
          <w:tcPr>
            <w:tcW w:type="dxa" w:w="1080"/>
          </w:tcPr>
          <w:p>
            <w:r>
              <w:rPr>
                <w:rFonts w:ascii="Calibri" w:hAnsi="Calibri"/>
                <w:sz w:val="22"/>
              </w:rPr>
              <w:t>Adj. EPS — FY2027</w:t>
            </w:r>
          </w:p>
        </w:tc>
        <w:tc>
          <w:tcPr>
            <w:tcW w:type="dxa" w:w="1080"/>
          </w:tcPr>
          <w:p>
            <w:r>
              <w:rPr>
                <w:rFonts w:ascii="Calibri" w:hAnsi="Calibri"/>
                <w:sz w:val="22"/>
              </w:rPr>
              <w:t>$7.140</w:t>
            </w:r>
          </w:p>
        </w:tc>
        <w:tc>
          <w:tcPr>
            <w:tcW w:type="dxa" w:w="1080"/>
          </w:tcPr>
          <w:p>
            <w:r>
              <w:rPr>
                <w:rFonts w:ascii="Calibri" w:hAnsi="Calibri"/>
                <w:sz w:val="22"/>
              </w:rPr>
              <w:t>$7.190</w:t>
            </w:r>
          </w:p>
        </w:tc>
        <w:tc>
          <w:tcPr>
            <w:tcW w:type="dxa" w:w="1080"/>
          </w:tcPr>
          <w:p>
            <w:r>
              <w:rPr>
                <w:rFonts w:ascii="Calibri" w:hAnsi="Calibri"/>
                <w:sz w:val="22"/>
              </w:rPr>
              <w:t>+0.7%</w:t>
            </w:r>
          </w:p>
        </w:tc>
        <w:tc>
          <w:tcPr>
            <w:tcW w:type="dxa" w:w="1080"/>
          </w:tcPr>
          <w:p>
            <w:r>
              <w:rPr>
                <w:rFonts w:ascii="Calibri" w:hAnsi="Calibri"/>
                <w:sz w:val="22"/>
              </w:rPr>
              <w:t>N/A (no FY2027 guidance yet)</w:t>
            </w:r>
          </w:p>
        </w:tc>
        <w:tc>
          <w:tcPr>
            <w:tcW w:type="dxa" w:w="1080"/>
          </w:tcPr>
          <w:p>
            <w:r>
              <w:rPr>
                <w:rFonts w:ascii="Calibri" w:hAnsi="Calibri"/>
                <w:sz w:val="22"/>
              </w:rPr>
              <w:t>—</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The most notable divergence is the margin gap: consensus at 26.6% for Q3 vs. management's ~28% guidance represents 140 bps of potential upside if EMR delivers on its own target — consistent with the pattern of H1 margin beats. FY2027 EPS has drifted modestly higher (+0.7%) since the Q2 print, suggesting the Street is incrementally more constructive on the multi-year earnings trajectory. Source: Visible Alpha Consensus and Actuals Data.</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EMR has outperformed both the industrials sector (XLI) and the S&amp;P 500 since the May 5 earnings print (+11.9% vs. +6.2% and +4.7% respectively), driven primarily by sentiment re-rating on the margin resilience story and raised EPS guidance floor — the move appears multiple-driven rather than estimate-driven given flat revisions.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EMR vs. XLI (Industrials ETF) vs. S&amp;P 500 (SPY) — Indexed to 100 at May 5, 2026 (Last Earnings Date). Source: Yahoo Finance / Stock Price Data.</w:t>
      </w:r>
    </w:p>
    <w:p>
      <w:r>
        <w:rPr>
          <w:rFonts w:ascii="Calibri" w:hAnsi="Calibri"/>
          <w:b/>
          <w:color w:val="525866"/>
          <w:sz w:val="22"/>
        </w:rPr>
        <w:t xml:space="preserve">Sector ETF used: </w:t>
      </w:r>
      <w:r>
        <w:rPr>
          <w:rFonts w:ascii="Calibri" w:hAnsi="Calibri"/>
          <w:color w:val="525866"/>
          <w:sz w:val="22"/>
        </w:rPr>
        <w:t>XLI (Industrial Select Sector SPDR Fund) — appropriate for EMR's sub-sector as a diversified industrial automation and process control company. Since the May 5 Q2 FY2026 earnings print, EMR has returned +11.9% (indexed from 100 to 111.9), outpacing XLI at +6.2% and SPY at +4.7%. The outperformance is notable given that estimate revisions were essentially flat over the period, suggesting the re-rating was driven by multiple expansion on the back of management's confident tone, raised EPS floor, and the market's growing conviction in the H2 acceleration thesis (backlog conversion, software renewal tailwind, T&amp;M momentum). Two material events are marked: the COO open-market sale on June 2 (modest negative signal, though plan-driven) and the Q3 earnings date announcement on July 14. The stock pulled back modestly in late July alongside broader market volatility but has since recovered, closing at $154.85 on August 4, 2026.</w:t>
      </w:r>
    </w:p>
    <w:p>
      <w:r>
        <w:br w:type="page"/>
      </w:r>
    </w:p>
    <w:p>
      <w:pPr>
        <w:pStyle w:val="Heading1"/>
        <w:pBdr>
          <w:bottom w:val="single" w:sz="4" w:space="1" w:color="FB9120"/>
        </w:pBdr>
      </w:pPr>
      <w:r>
        <w:rPr>
          <w:rFonts w:ascii="Calibri" w:hAnsi="Calibri"/>
          <w:b/>
          <w:color w:val="3B4259"/>
          <w:sz w:val="40"/>
        </w:rPr>
        <w:t>6. Peer Commentaries — Read-Through for Q3 FY2026</w:t>
      </w:r>
    </w:p>
    <w:p>
      <w:r>
        <w:rPr>
          <w:rFonts w:ascii="Calibri" w:hAnsi="Calibri"/>
          <w:b/>
          <w:color w:val="525866"/>
          <w:sz w:val="22"/>
        </w:rPr>
        <w:t xml:space="preserve">Key Takeaway: </w:t>
      </w:r>
      <w:r>
        <w:rPr>
          <w:rFonts w:ascii="Calibri" w:hAnsi="Calibri"/>
          <w:color w:val="525866"/>
          <w:sz w:val="22"/>
        </w:rPr>
        <w:t>Peers reporting Q2 calendar 2026 (which overlaps with EMR's Q3 FY2026 period ending June 30) paint a broadly constructive picture for EMR: power/LNG demand is accelerating, T&amp;M/semiconductor momentum is sustained, North America remains strong, and Middle East activity is normalizing — all directly relevant to EMR's key growth verticals and geographic exposures.</w:t>
      </w:r>
    </w:p>
    <w:p>
      <w:r>
        <w:rPr>
          <w:rFonts w:ascii="Calibri" w:hAnsi="Calibri"/>
          <w:b/>
          <w:color w:val="525866"/>
          <w:sz w:val="22"/>
        </w:rPr>
        <w:t xml:space="preserve">Note on scope: </w:t>
      </w:r>
      <w:r>
        <w:rPr>
          <w:rFonts w:ascii="Calibri" w:hAnsi="Calibri"/>
          <w:color w:val="525866"/>
          <w:sz w:val="22"/>
        </w:rPr>
        <w:t>Only commentary from peers' Q2 2026 earnings calls (reported July 2026) and post-Q2 FY2026 EMR earnings conferences (June 2026) is included below, as these cover the period overlapping with EMR's Q3 FY2026 (April–June 2026). Prior-quarter results commentary has been excluded.</w:t>
      </w:r>
    </w:p>
    <w:p>
      <w:pPr>
        <w:pStyle w:val="Heading2"/>
      </w:pPr>
      <w:r>
        <w:rPr>
          <w:rFonts w:ascii="Calibri" w:hAnsi="Calibri"/>
          <w:b/>
          <w:color w:val="3B4259"/>
          <w:sz w:val="28"/>
        </w:rPr>
        <w:t>Eaton (ETN) — Q2 2026 Earnings (Reported July 31, 2026)</w:t>
      </w:r>
    </w:p>
    <w:p>
      <w:r>
        <w:rPr>
          <w:rFonts w:ascii="Calibri" w:hAnsi="Calibri"/>
          <w:b/>
          <w:color w:val="525866"/>
          <w:sz w:val="22"/>
        </w:rPr>
        <w:t xml:space="preserve">Read-through: </w:t>
      </w:r>
      <w:r>
        <w:rPr>
          <w:rFonts w:ascii="Calibri" w:hAnsi="Calibri"/>
          <w:color w:val="525866"/>
          <w:sz w:val="22"/>
        </w:rPr>
        <w:t>Strongly positive for EMR's power and data center verticals.</w:t>
      </w:r>
    </w:p>
    <w:p>
      <w:pPr>
        <w:pStyle w:val="ListBullet"/>
        <w:ind w:left="360" w:hanging="360"/>
      </w:pPr>
      <w:r>
        <w:rPr>
          <w:rFonts w:ascii="Calibri" w:hAnsi="Calibri"/>
          <w:b/>
          <w:color w:val="525866"/>
          <w:sz w:val="22"/>
        </w:rPr>
        <w:t xml:space="preserve">Power/Data Center demand accelerating beyond expectations: </w:t>
      </w:r>
      <w:r>
        <w:rPr>
          <w:rFonts w:ascii="Calibri" w:hAnsi="Calibri"/>
          <w:color w:val="525866"/>
          <w:sz w:val="22"/>
        </w:rPr>
        <w:t xml:space="preserve">ETN reported 14% organic growth and raised full-year organic growth guidance to 11–13% (midpoint +200 bps). Data center organic revenues were up 65%, with the US data center backlog growing to 307 GW (15 years of backlog at 2025 build rates, up from 12 years). </w:t>
      </w:r>
      <w:r>
        <w:rPr>
          <w:rFonts w:ascii="Calibri" w:hAnsi="Calibri"/>
          <w:b/>
          <w:i/>
          <w:color w:val="525866"/>
          <w:sz w:val="22"/>
        </w:rPr>
        <w:t xml:space="preserve">Read-through: </w:t>
      </w:r>
      <w:r>
        <w:rPr>
          <w:rFonts w:ascii="Calibri" w:hAnsi="Calibri"/>
          <w:color w:val="525866"/>
          <w:sz w:val="22"/>
        </w:rPr>
        <w:t>Confirms EMR's power vertical (up 23% in Q2 FY2026, Ovation orders +41%) is operating in a structurally strong demand environment that is still accelerating.</w:t>
      </w:r>
    </w:p>
    <w:p>
      <w:pPr>
        <w:pStyle w:val="ListBullet"/>
        <w:ind w:left="360" w:hanging="360"/>
      </w:pPr>
      <w:r>
        <w:rPr>
          <w:rFonts w:ascii="Calibri" w:hAnsi="Calibri"/>
          <w:b/>
          <w:color w:val="525866"/>
          <w:sz w:val="22"/>
        </w:rPr>
        <w:t xml:space="preserve">Electrical Americas book-to-bill at 1.3, orders up 41% on rolling 12-month basis: </w:t>
      </w:r>
      <w:r>
        <w:rPr>
          <w:rFonts w:ascii="Calibri" w:hAnsi="Calibri"/>
          <w:color w:val="525866"/>
          <w:sz w:val="22"/>
        </w:rPr>
        <w:t xml:space="preserve">ETN's negotiations pipeline was up 60% YTD. </w:t>
      </w:r>
      <w:r>
        <w:rPr>
          <w:rFonts w:ascii="Calibri" w:hAnsi="Calibri"/>
          <w:b/>
          <w:i/>
          <w:color w:val="525866"/>
          <w:sz w:val="22"/>
        </w:rPr>
        <w:t xml:space="preserve">Read-through: </w:t>
      </w:r>
      <w:r>
        <w:rPr>
          <w:rFonts w:ascii="Calibri" w:hAnsi="Calibri"/>
          <w:color w:val="525866"/>
          <w:sz w:val="22"/>
        </w:rPr>
        <w:t>Supports EMR's view that North America industrial investment remains robust and that the project funnel ($11.2B at EMR) is not at risk of demand pullback.</w:t>
      </w:r>
    </w:p>
    <w:p>
      <w:pPr>
        <w:pStyle w:val="ListBullet"/>
        <w:ind w:left="360" w:hanging="360"/>
      </w:pPr>
      <w:r>
        <w:rPr>
          <w:rFonts w:ascii="Calibri" w:hAnsi="Calibri"/>
          <w:b/>
          <w:color w:val="525866"/>
          <w:sz w:val="22"/>
        </w:rPr>
        <w:t xml:space="preserve">800V DC transition and modularization driving new content: </w:t>
      </w:r>
      <w:r>
        <w:rPr>
          <w:rFonts w:ascii="Calibri" w:hAnsi="Calibri"/>
          <w:color w:val="525866"/>
          <w:sz w:val="22"/>
        </w:rPr>
        <w:t xml:space="preserve">ETN highlighted the shift to 800V DC as a 5% efficiency gain for gigawatt-scale data centers, with Eaton ahead in medium voltage solid-state transformers. </w:t>
      </w:r>
      <w:r>
        <w:rPr>
          <w:rFonts w:ascii="Calibri" w:hAnsi="Calibri"/>
          <w:b/>
          <w:i/>
          <w:color w:val="525866"/>
          <w:sz w:val="22"/>
        </w:rPr>
        <w:t xml:space="preserve">Read-through: </w:t>
      </w:r>
      <w:r>
        <w:rPr>
          <w:rFonts w:ascii="Calibri" w:hAnsi="Calibri"/>
          <w:color w:val="525866"/>
          <w:sz w:val="22"/>
        </w:rPr>
        <w:t>Incremental positive for EMR's DeltaV and Ovation control systems as data center automation complexity increases.</w:t>
      </w:r>
    </w:p>
    <w:p>
      <w:pPr>
        <w:pStyle w:val="ListBullet"/>
        <w:ind w:left="360" w:hanging="360"/>
      </w:pPr>
      <w:r>
        <w:rPr>
          <w:rFonts w:ascii="Calibri" w:hAnsi="Calibri"/>
          <w:b/>
          <w:color w:val="525866"/>
          <w:sz w:val="22"/>
        </w:rPr>
        <w:t xml:space="preserve">Pricing actions taken in Q2/early Q3 expected to normalize price/cost in H2: </w:t>
      </w:r>
      <w:r>
        <w:rPr>
          <w:rFonts w:ascii="Calibri" w:hAnsi="Calibri"/>
          <w:color w:val="525866"/>
          <w:sz w:val="22"/>
        </w:rPr>
        <w:t xml:space="preserve">ETN guided 300 bps of price/cost improvement in H2 vs. H1. </w:t>
      </w:r>
      <w:r>
        <w:rPr>
          <w:rFonts w:ascii="Calibri" w:hAnsi="Calibri"/>
          <w:b/>
          <w:i/>
          <w:color w:val="525866"/>
          <w:sz w:val="22"/>
        </w:rPr>
        <w:t xml:space="preserve">Read-through: </w:t>
      </w:r>
      <w:r>
        <w:rPr>
          <w:rFonts w:ascii="Calibri" w:hAnsi="Calibri"/>
          <w:color w:val="525866"/>
          <w:sz w:val="22"/>
        </w:rPr>
        <w:t>Consistent with EMR's own price/cost neutral tariff assumption; suggests the broader industrial pricing environment is stabilizing.</w:t>
      </w:r>
    </w:p>
    <w:p>
      <w:pPr>
        <w:pStyle w:val="Heading2"/>
      </w:pPr>
      <w:r>
        <w:rPr>
          <w:rFonts w:ascii="Calibri" w:hAnsi="Calibri"/>
          <w:b/>
          <w:color w:val="3B4259"/>
          <w:sz w:val="28"/>
        </w:rPr>
        <w:t>Honeywell Technologies (HON) — Q2 2026 Earnings (Reported July 23, 2026)</w:t>
      </w:r>
    </w:p>
    <w:p>
      <w:r>
        <w:rPr>
          <w:rFonts w:ascii="Calibri" w:hAnsi="Calibri"/>
          <w:b/>
          <w:color w:val="525866"/>
          <w:sz w:val="22"/>
        </w:rPr>
        <w:t xml:space="preserve">Read-through: </w:t>
      </w:r>
      <w:r>
        <w:rPr>
          <w:rFonts w:ascii="Calibri" w:hAnsi="Calibri"/>
          <w:color w:val="525866"/>
          <w:sz w:val="22"/>
        </w:rPr>
        <w:t>Positive for EMR's LNG, process automation, and Middle East recovery narratives.</w:t>
      </w:r>
    </w:p>
    <w:p>
      <w:pPr>
        <w:pStyle w:val="ListBullet"/>
        <w:ind w:left="360" w:hanging="360"/>
      </w:pPr>
      <w:r>
        <w:rPr>
          <w:rFonts w:ascii="Calibri" w:hAnsi="Calibri"/>
          <w:b/>
          <w:color w:val="525866"/>
          <w:sz w:val="22"/>
        </w:rPr>
        <w:t xml:space="preserve">LNG demand the biggest driver of process automation orders: </w:t>
      </w:r>
      <w:r>
        <w:rPr>
          <w:rFonts w:ascii="Calibri" w:hAnsi="Calibri"/>
          <w:color w:val="525866"/>
          <w:sz w:val="22"/>
        </w:rPr>
        <w:t xml:space="preserve">HON's Process Automation &amp; Technology orders grew nearly 25% organically in Q2, led by ~50% growth in process technology, with LNG globally (especially US) cited as the primary enabler. HON stated it is "sold out of LNG for the next three years." </w:t>
      </w:r>
      <w:r>
        <w:rPr>
          <w:rFonts w:ascii="Calibri" w:hAnsi="Calibri"/>
          <w:b/>
          <w:i/>
          <w:color w:val="525866"/>
          <w:sz w:val="22"/>
        </w:rPr>
        <w:t xml:space="preserve">Read-through: </w:t>
      </w:r>
      <w:r>
        <w:rPr>
          <w:rFonts w:ascii="Calibri" w:hAnsi="Calibri"/>
          <w:color w:val="525866"/>
          <w:sz w:val="22"/>
        </w:rPr>
        <w:t>Directly corroborates EMR's LNG opportunity narrative (NextDecade Rio Grande LNG Train 4 &amp; 5 win, active FID momentum). Suggests the LNG order runway is real and competitive for EMR's DeltaV and Final Control segments.</w:t>
      </w:r>
    </w:p>
    <w:p>
      <w:pPr>
        <w:pStyle w:val="ListBullet"/>
        <w:ind w:left="360" w:hanging="360"/>
      </w:pPr>
      <w:r>
        <w:rPr>
          <w:rFonts w:ascii="Calibri" w:hAnsi="Calibri"/>
          <w:b/>
          <w:color w:val="525866"/>
          <w:sz w:val="22"/>
        </w:rPr>
        <w:t xml:space="preserve">Middle East orders up 50%+ in Q2, driven by process technology refurbishment: </w:t>
      </w:r>
      <w:r>
        <w:rPr>
          <w:rFonts w:ascii="Calibri" w:hAnsi="Calibri"/>
          <w:color w:val="525866"/>
          <w:sz w:val="22"/>
        </w:rPr>
        <w:t xml:space="preserve">HON reported that Middle East orders grew over 50% in Q2, primarily from a few large LNG facility refurbishment deals. Revenue impact from the conflict is expected to move to zero in H2. HON's heavily localized model (no evacuations during conflict) gave it a competitive advantage. </w:t>
      </w:r>
      <w:r>
        <w:rPr>
          <w:rFonts w:ascii="Calibri" w:hAnsi="Calibri"/>
          <w:b/>
          <w:i/>
          <w:color w:val="525866"/>
          <w:sz w:val="22"/>
        </w:rPr>
        <w:t xml:space="preserve">Read-through: </w:t>
      </w:r>
      <w:r>
        <w:rPr>
          <w:rFonts w:ascii="Calibri" w:hAnsi="Calibri"/>
          <w:color w:val="525866"/>
          <w:sz w:val="22"/>
        </w:rPr>
        <w:t>Positive signal for EMR's ~$100M rebuild/restart opportunity. Suggests the Middle East recovery is progressing faster than feared, and that refurbishment orders are beginning to flow — a tailwind for EMR's Q3 and Q4.</w:t>
      </w:r>
    </w:p>
    <w:p>
      <w:pPr>
        <w:pStyle w:val="ListBullet"/>
        <w:ind w:left="360" w:hanging="360"/>
      </w:pPr>
      <w:r>
        <w:rPr>
          <w:rFonts w:ascii="Calibri" w:hAnsi="Calibri"/>
          <w:b/>
          <w:color w:val="525866"/>
          <w:sz w:val="22"/>
        </w:rPr>
        <w:t xml:space="preserve">Industrial Automation orders up 11% organically, turnaround executing faster than expected: </w:t>
      </w:r>
      <w:r>
        <w:rPr>
          <w:rFonts w:ascii="Calibri" w:hAnsi="Calibri"/>
          <w:color w:val="525866"/>
          <w:sz w:val="22"/>
        </w:rPr>
        <w:t xml:space="preserve">HON raised IA full-year organic growth from roughly flat to up low single digits, with sensing and industrial measurement orders up over 20%. China was not a drag (contrary to prior expectations). </w:t>
      </w:r>
      <w:r>
        <w:rPr>
          <w:rFonts w:ascii="Calibri" w:hAnsi="Calibri"/>
          <w:b/>
          <w:i/>
          <w:color w:val="525866"/>
          <w:sz w:val="22"/>
        </w:rPr>
        <w:t xml:space="preserve">Read-through: </w:t>
      </w:r>
      <w:r>
        <w:rPr>
          <w:rFonts w:ascii="Calibri" w:hAnsi="Calibri"/>
          <w:color w:val="525866"/>
          <w:sz w:val="22"/>
        </w:rPr>
        <w:t>Broadly positive for EMR's Intelligent Devices segment and consistent with EMR's North America strength narrative.</w:t>
      </w:r>
    </w:p>
    <w:p>
      <w:pPr>
        <w:pStyle w:val="ListBullet"/>
        <w:ind w:left="360" w:hanging="360"/>
      </w:pPr>
      <w:r>
        <w:rPr>
          <w:rFonts w:ascii="Calibri" w:hAnsi="Calibri"/>
          <w:b/>
          <w:color w:val="525866"/>
          <w:sz w:val="22"/>
        </w:rPr>
        <w:t xml:space="preserve">Full-year organic growth raised to 3–4%, H2 guided at 4–6%: </w:t>
      </w:r>
      <w:r>
        <w:rPr>
          <w:rFonts w:ascii="Calibri" w:hAnsi="Calibri"/>
          <w:color w:val="525866"/>
          <w:sz w:val="22"/>
        </w:rPr>
        <w:t xml:space="preserve">HON raised full-year EPS guidance midpoint to $8.20 (+27% YoY). Management noted 2027 is "incrementally looking stronger" vs. prior expectations. </w:t>
      </w:r>
      <w:r>
        <w:rPr>
          <w:rFonts w:ascii="Calibri" w:hAnsi="Calibri"/>
          <w:b/>
          <w:i/>
          <w:color w:val="525866"/>
          <w:sz w:val="22"/>
        </w:rPr>
        <w:t xml:space="preserve">Read-through: </w:t>
      </w:r>
      <w:r>
        <w:rPr>
          <w:rFonts w:ascii="Calibri" w:hAnsi="Calibri"/>
          <w:color w:val="525866"/>
          <w:sz w:val="22"/>
        </w:rPr>
        <w:t>Supports EMR's H2 acceleration thesis and multi-year growth visibility.</w:t>
      </w:r>
    </w:p>
    <w:p>
      <w:pPr>
        <w:pStyle w:val="Heading2"/>
      </w:pPr>
      <w:r>
        <w:rPr>
          <w:rFonts w:ascii="Calibri" w:hAnsi="Calibri"/>
          <w:b/>
          <w:color w:val="3B4259"/>
          <w:sz w:val="28"/>
        </w:rPr>
        <w:t>Honeywell — Guidance Update Call (June 8, 2026) &amp; Investor Day (June 11, 2026)</w:t>
      </w:r>
    </w:p>
    <w:p>
      <w:r>
        <w:rPr>
          <w:rFonts w:ascii="Calibri" w:hAnsi="Calibri"/>
          <w:b/>
          <w:color w:val="525866"/>
          <w:sz w:val="22"/>
        </w:rPr>
        <w:t xml:space="preserve">Read-through: </w:t>
      </w:r>
      <w:r>
        <w:rPr>
          <w:rFonts w:ascii="Calibri" w:hAnsi="Calibri"/>
          <w:color w:val="525866"/>
          <w:sz w:val="22"/>
        </w:rPr>
        <w:t>Positive for EMR's software/automation positioning and LNG/power secular growth thesis.</w:t>
      </w:r>
    </w:p>
    <w:p>
      <w:pPr>
        <w:pStyle w:val="ListBullet"/>
        <w:ind w:left="360" w:hanging="360"/>
      </w:pPr>
      <w:r>
        <w:rPr>
          <w:rFonts w:ascii="Calibri" w:hAnsi="Calibri"/>
          <w:b/>
          <w:color w:val="525866"/>
          <w:sz w:val="22"/>
        </w:rPr>
        <w:t xml:space="preserve">IA short-cycle recovery continuing in Europe and Asia; China not a drag: </w:t>
      </w:r>
      <w:r>
        <w:rPr>
          <w:rFonts w:ascii="Calibri" w:hAnsi="Calibri"/>
          <w:color w:val="525866"/>
          <w:sz w:val="22"/>
        </w:rPr>
        <w:t xml:space="preserve">HON raised IA expectations from "down low single digits" to flat for the year, citing self-help (supply chain, pricing, simplification) and reshoring tailwinds. China, previously expected to be a headwind, was not. </w:t>
      </w:r>
      <w:r>
        <w:rPr>
          <w:rFonts w:ascii="Calibri" w:hAnsi="Calibri"/>
          <w:b/>
          <w:i/>
          <w:color w:val="525866"/>
          <w:sz w:val="22"/>
        </w:rPr>
        <w:t xml:space="preserve">Read-through: </w:t>
      </w:r>
      <w:r>
        <w:rPr>
          <w:rFonts w:ascii="Calibri" w:hAnsi="Calibri"/>
          <w:color w:val="525866"/>
          <w:sz w:val="22"/>
        </w:rPr>
        <w:t>Mixed for EMR — HON's IA recovery is positive for the broader automation market, but EMR's China exposure is specifically to chemicals (overcapacity), which is a different dynamic than HON's broader IA exposure.</w:t>
      </w:r>
    </w:p>
    <w:p>
      <w:pPr>
        <w:pStyle w:val="ListBullet"/>
        <w:ind w:left="360" w:hanging="360"/>
      </w:pPr>
      <w:r>
        <w:rPr>
          <w:rFonts w:ascii="Calibri" w:hAnsi="Calibri"/>
          <w:b/>
          <w:color w:val="525866"/>
          <w:sz w:val="22"/>
        </w:rPr>
        <w:t xml:space="preserve">Middle East conflict impact quantified at $50–75M revenue; high conviction it moves to zero in H2: </w:t>
      </w:r>
      <w:r>
        <w:rPr>
          <w:rFonts w:ascii="Calibri" w:hAnsi="Calibri"/>
          <w:color w:val="525866"/>
          <w:sz w:val="22"/>
        </w:rPr>
        <w:t xml:space="preserve">HON stated the conflict generated "a lot of demand globally as people think through energy security," with PA&amp;T seeing more incremental demand outside the Middle East. Reconstruction has already begun. </w:t>
      </w:r>
      <w:r>
        <w:rPr>
          <w:rFonts w:ascii="Calibri" w:hAnsi="Calibri"/>
          <w:b/>
          <w:i/>
          <w:color w:val="525866"/>
          <w:sz w:val="22"/>
        </w:rPr>
        <w:t xml:space="preserve">Read-through: </w:t>
      </w:r>
      <w:r>
        <w:rPr>
          <w:rFonts w:ascii="Calibri" w:hAnsi="Calibri"/>
          <w:color w:val="525866"/>
          <w:sz w:val="22"/>
        </w:rPr>
        <w:t>Corroborates EMR's view that the Middle East headwind is transitory and that the rebuild opportunity is real.</w:t>
      </w:r>
    </w:p>
    <w:p>
      <w:pPr>
        <w:pStyle w:val="ListBullet"/>
        <w:ind w:left="360" w:hanging="360"/>
      </w:pPr>
      <w:r>
        <w:rPr>
          <w:rFonts w:ascii="Calibri" w:hAnsi="Calibri"/>
          <w:b/>
          <w:color w:val="525866"/>
          <w:sz w:val="22"/>
        </w:rPr>
        <w:t xml:space="preserve">LNG business "sold out for the next three years"; catalyst demand step-up in H2: </w:t>
      </w:r>
      <w:r>
        <w:rPr>
          <w:rFonts w:ascii="Calibri" w:hAnsi="Calibri"/>
          <w:color w:val="525866"/>
          <w:sz w:val="22"/>
        </w:rPr>
        <w:t xml:space="preserve">HON's process technology backlog is converting with book-to-bills above 1.2 for several quarters. Short-term catalyst demand expected up 20%+ in H2. </w:t>
      </w:r>
      <w:r>
        <w:rPr>
          <w:rFonts w:ascii="Calibri" w:hAnsi="Calibri"/>
          <w:b/>
          <w:i/>
          <w:color w:val="525866"/>
          <w:sz w:val="22"/>
        </w:rPr>
        <w:t xml:space="preserve">Read-through: </w:t>
      </w:r>
      <w:r>
        <w:rPr>
          <w:rFonts w:ascii="Calibri" w:hAnsi="Calibri"/>
          <w:color w:val="525866"/>
          <w:sz w:val="22"/>
        </w:rPr>
        <w:t>Reinforces the multi-year LNG capex cycle that benefits EMR's project funnel and backlog.</w:t>
      </w:r>
    </w:p>
    <w:p>
      <w:pPr>
        <w:pStyle w:val="Heading2"/>
      </w:pPr>
      <w:r>
        <w:rPr>
          <w:rFonts w:ascii="Calibri" w:hAnsi="Calibri"/>
          <w:b/>
          <w:color w:val="3B4259"/>
          <w:sz w:val="28"/>
        </w:rPr>
        <w:t>Ingersoll Rand (IR) — Q2 2026 Earnings (Reported July 31, 2026)</w:t>
      </w:r>
    </w:p>
    <w:p>
      <w:r>
        <w:rPr>
          <w:rFonts w:ascii="Calibri" w:hAnsi="Calibri"/>
          <w:b/>
          <w:color w:val="525866"/>
          <w:sz w:val="22"/>
        </w:rPr>
        <w:t xml:space="preserve">Read-through: </w:t>
      </w:r>
      <w:r>
        <w:rPr>
          <w:rFonts w:ascii="Calibri" w:hAnsi="Calibri"/>
          <w:color w:val="525866"/>
          <w:sz w:val="22"/>
        </w:rPr>
        <w:t>Positive for EMR's short-to-medium cycle demand and life sciences/biopharma verticals; mixed on Middle East.</w:t>
      </w:r>
    </w:p>
    <w:p>
      <w:pPr>
        <w:pStyle w:val="ListBullet"/>
        <w:ind w:left="360" w:hanging="360"/>
      </w:pPr>
      <w:r>
        <w:rPr>
          <w:rFonts w:ascii="Calibri" w:hAnsi="Calibri"/>
          <w:b/>
          <w:color w:val="525866"/>
          <w:sz w:val="22"/>
        </w:rPr>
        <w:t xml:space="preserve">Double-digit organic order growth in July (first 4 weeks), driven by long-cycle project recovery: </w:t>
      </w:r>
      <w:r>
        <w:rPr>
          <w:rFonts w:ascii="Calibri" w:hAnsi="Calibri"/>
          <w:color w:val="525866"/>
          <w:sz w:val="22"/>
        </w:rPr>
        <w:t xml:space="preserve">IR reported organic orders up low-double-digit to mid-teens in July, with long-cycle projects that were delayed in H1 now converting. Short-to-medium cycle orders were up mid-single digits in Q2. </w:t>
      </w:r>
      <w:r>
        <w:rPr>
          <w:rFonts w:ascii="Calibri" w:hAnsi="Calibri"/>
          <w:b/>
          <w:i/>
          <w:color w:val="525866"/>
          <w:sz w:val="22"/>
        </w:rPr>
        <w:t xml:space="preserve">Read-through: </w:t>
      </w:r>
      <w:r>
        <w:rPr>
          <w:rFonts w:ascii="Calibri" w:hAnsi="Calibri"/>
          <w:color w:val="525866"/>
          <w:sz w:val="22"/>
        </w:rPr>
        <w:t>Positive signal for EMR's Q3 order momentum. Suggests the broader industrial project environment is improving, consistent with EMR's view that mid-single-digit orders are sustainable.</w:t>
      </w:r>
    </w:p>
    <w:p>
      <w:pPr>
        <w:pStyle w:val="ListBullet"/>
        <w:ind w:left="360" w:hanging="360"/>
      </w:pPr>
      <w:r>
        <w:rPr>
          <w:rFonts w:ascii="Calibri" w:hAnsi="Calibri"/>
          <w:b/>
          <w:color w:val="525866"/>
          <w:sz w:val="22"/>
        </w:rPr>
        <w:t xml:space="preserve">Life sciences delivered low-double-digit organic order growth, driven by biopharma/GLP-1: </w:t>
      </w:r>
      <w:r>
        <w:rPr>
          <w:rFonts w:ascii="Calibri" w:hAnsi="Calibri"/>
          <w:color w:val="525866"/>
          <w:sz w:val="22"/>
        </w:rPr>
        <w:t xml:space="preserve">IR highlighted strong GLP-1 exposure and investments in biopharma expansion for 2027. </w:t>
      </w:r>
      <w:r>
        <w:rPr>
          <w:rFonts w:ascii="Calibri" w:hAnsi="Calibri"/>
          <w:b/>
          <w:i/>
          <w:color w:val="525866"/>
          <w:sz w:val="22"/>
        </w:rPr>
        <w:t xml:space="preserve">Read-through: </w:t>
      </w:r>
      <w:r>
        <w:rPr>
          <w:rFonts w:ascii="Calibri" w:hAnsi="Calibri"/>
          <w:color w:val="525866"/>
          <w:sz w:val="22"/>
        </w:rPr>
        <w:t>Directly corroborates EMR's life sciences growth vertical (DeltaV win for Indiana GLP-1 oral production ramp). Biopharma capex cycle appears durable.</w:t>
      </w:r>
    </w:p>
    <w:p>
      <w:pPr>
        <w:pStyle w:val="ListBullet"/>
        <w:ind w:left="360" w:hanging="360"/>
      </w:pPr>
      <w:r>
        <w:rPr>
          <w:rFonts w:ascii="Calibri" w:hAnsi="Calibri"/>
          <w:b/>
          <w:color w:val="525866"/>
          <w:sz w:val="22"/>
        </w:rPr>
        <w:t xml:space="preserve">Middle East EMEA orders down low-double-digits organically due to project timing delays (not cancellations): </w:t>
      </w:r>
      <w:r>
        <w:rPr>
          <w:rFonts w:ascii="Calibri" w:hAnsi="Calibri"/>
          <w:color w:val="525866"/>
          <w:sz w:val="22"/>
        </w:rPr>
        <w:t xml:space="preserve">IR noted core compressor orders in the Middle East were up low-single-digits organically, with the headline weakness driven by timing of blower/vacuum projects. </w:t>
      </w:r>
      <w:r>
        <w:rPr>
          <w:rFonts w:ascii="Calibri" w:hAnsi="Calibri"/>
          <w:b/>
          <w:i/>
          <w:color w:val="525866"/>
          <w:sz w:val="22"/>
        </w:rPr>
        <w:t xml:space="preserve">Read-through: </w:t>
      </w:r>
      <w:r>
        <w:rPr>
          <w:rFonts w:ascii="Calibri" w:hAnsi="Calibri"/>
          <w:color w:val="525866"/>
          <w:sz w:val="22"/>
        </w:rPr>
        <w:t>Nuanced — the underlying Middle East demand is intact (core orders positive), but project timing remains lumpy. Consistent with EMR's view that the region is recovering but not yet at full run-rate.</w:t>
      </w:r>
    </w:p>
    <w:p>
      <w:pPr>
        <w:pStyle w:val="ListBullet"/>
        <w:ind w:left="360" w:hanging="360"/>
      </w:pPr>
      <w:r>
        <w:rPr>
          <w:rFonts w:ascii="Calibri" w:hAnsi="Calibri"/>
          <w:b/>
          <w:color w:val="525866"/>
          <w:sz w:val="22"/>
        </w:rPr>
        <w:t xml:space="preserve">China organic revenue up low-double-digits; pricing remains challenged: </w:t>
      </w:r>
      <w:r>
        <w:rPr>
          <w:rFonts w:ascii="Calibri" w:hAnsi="Calibri"/>
          <w:color w:val="525866"/>
          <w:sz w:val="22"/>
        </w:rPr>
        <w:t xml:space="preserve">IR's China volume story is strong but pricing is the most challenged market due to overcapacity. The pricing issue is viewed as transient. </w:t>
      </w:r>
      <w:r>
        <w:rPr>
          <w:rFonts w:ascii="Calibri" w:hAnsi="Calibri"/>
          <w:b/>
          <w:i/>
          <w:color w:val="525866"/>
          <w:sz w:val="22"/>
        </w:rPr>
        <w:t xml:space="preserve">Read-through: </w:t>
      </w:r>
      <w:r>
        <w:rPr>
          <w:rFonts w:ascii="Calibri" w:hAnsi="Calibri"/>
          <w:color w:val="525866"/>
          <w:sz w:val="22"/>
        </w:rPr>
        <w:t>Mixed for EMR — IR's China volume strength is in different end markets (compressors, OEM) vs. EMR's chemical exposure. EMR's China weakness (mid-single-digit decline) is more structural near-term.</w:t>
      </w:r>
    </w:p>
    <w:p>
      <w:pPr>
        <w:pStyle w:val="ListBullet"/>
        <w:ind w:left="360" w:hanging="360"/>
      </w:pPr>
      <w:r>
        <w:rPr>
          <w:rFonts w:ascii="Calibri" w:hAnsi="Calibri"/>
          <w:b/>
          <w:color w:val="525866"/>
          <w:sz w:val="22"/>
        </w:rPr>
        <w:t xml:space="preserve">Full-year revenue guidance raised 200 bps at midpoint; EPS toward high end of range: </w:t>
      </w:r>
      <w:r>
        <w:rPr>
          <w:rFonts w:ascii="Calibri" w:hAnsi="Calibri"/>
          <w:color w:val="525866"/>
          <w:sz w:val="22"/>
        </w:rPr>
        <w:t xml:space="preserve">IR raised organic growth guidance to 1–3% (from prior range), with M&amp;A adding ~2.5%. Adjusted EBITDA guidance maintained at $2.13–$2.19B. </w:t>
      </w:r>
      <w:r>
        <w:rPr>
          <w:rFonts w:ascii="Calibri" w:hAnsi="Calibri"/>
          <w:b/>
          <w:i/>
          <w:color w:val="525866"/>
          <w:sz w:val="22"/>
        </w:rPr>
        <w:t xml:space="preserve">Read-through: </w:t>
      </w:r>
      <w:r>
        <w:rPr>
          <w:rFonts w:ascii="Calibri" w:hAnsi="Calibri"/>
          <w:color w:val="525866"/>
          <w:sz w:val="22"/>
        </w:rPr>
        <w:t>Broadly positive for the industrial automation sector; confirms demand environment is improving.</w:t>
      </w:r>
    </w:p>
    <w:p>
      <w:pPr>
        <w:pStyle w:val="Heading2"/>
      </w:pPr>
      <w:r>
        <w:rPr>
          <w:rFonts w:ascii="Calibri" w:hAnsi="Calibri"/>
          <w:b/>
          <w:color w:val="3B4259"/>
          <w:sz w:val="28"/>
        </w:rPr>
        <w:t>Illinois Tool Works (ITW) — Q2 2026 Earnings (Reported July 28, 2026)</w:t>
      </w:r>
    </w:p>
    <w:p>
      <w:r>
        <w:rPr>
          <w:rFonts w:ascii="Calibri" w:hAnsi="Calibri"/>
          <w:b/>
          <w:color w:val="525866"/>
          <w:sz w:val="22"/>
        </w:rPr>
        <w:t xml:space="preserve">Read-through: </w:t>
      </w:r>
      <w:r>
        <w:rPr>
          <w:rFonts w:ascii="Calibri" w:hAnsi="Calibri"/>
          <w:color w:val="525866"/>
          <w:sz w:val="22"/>
        </w:rPr>
        <w:t>Positive for EMR's Test &amp; Measurement and semiconductor/electronics verticals.</w:t>
      </w:r>
    </w:p>
    <w:p>
      <w:pPr>
        <w:pStyle w:val="ListBullet"/>
        <w:ind w:left="360" w:hanging="360"/>
      </w:pPr>
      <w:r>
        <w:rPr>
          <w:rFonts w:ascii="Calibri" w:hAnsi="Calibri"/>
          <w:b/>
          <w:color w:val="525866"/>
          <w:sz w:val="22"/>
        </w:rPr>
        <w:t xml:space="preserve">Test &amp; Measurement and Electronics up 10% organically; semiconductor-related businesses surging: </w:t>
      </w:r>
      <w:r>
        <w:rPr>
          <w:rFonts w:ascii="Calibri" w:hAnsi="Calibri"/>
          <w:color w:val="525866"/>
          <w:sz w:val="22"/>
        </w:rPr>
        <w:t xml:space="preserve">ITW's T&amp;M/Electronics segment achieved 10% organic growth, with electronics (40% of segment) up 21%, driven by printed circuit board and semiconductor chip manufacturing businesses. Order growth continues to outpace revenue in T&amp;M. </w:t>
      </w:r>
      <w:r>
        <w:rPr>
          <w:rFonts w:ascii="Calibri" w:hAnsi="Calibri"/>
          <w:b/>
          <w:i/>
          <w:color w:val="525866"/>
          <w:sz w:val="22"/>
        </w:rPr>
        <w:t xml:space="preserve">Read-through: </w:t>
      </w:r>
      <w:r>
        <w:rPr>
          <w:rFonts w:ascii="Calibri" w:hAnsi="Calibri"/>
          <w:color w:val="525866"/>
          <w:sz w:val="22"/>
        </w:rPr>
        <w:t>Directly corroborates EMR's T&amp;M outperformance (guided mid-teens growth in Q3, raised to low-teens for full year). Semiconductor capex cycle is sustaining.</w:t>
      </w:r>
    </w:p>
    <w:p>
      <w:pPr>
        <w:pStyle w:val="ListBullet"/>
        <w:ind w:left="360" w:hanging="360"/>
      </w:pPr>
      <w:r>
        <w:rPr>
          <w:rFonts w:ascii="Calibri" w:hAnsi="Calibri"/>
          <w:b/>
          <w:color w:val="525866"/>
          <w:sz w:val="22"/>
        </w:rPr>
        <w:t xml:space="preserve">Welding up 14% organically; data center construction cited as a driver: </w:t>
      </w:r>
      <w:r>
        <w:rPr>
          <w:rFonts w:ascii="Calibri" w:hAnsi="Calibri"/>
          <w:color w:val="525866"/>
          <w:sz w:val="22"/>
        </w:rPr>
        <w:t xml:space="preserve">ITW noted "fabrication related to some data center construction" as a driver of industrial welding demand, alongside infrastructure, energy, and aerospace. </w:t>
      </w:r>
      <w:r>
        <w:rPr>
          <w:rFonts w:ascii="Calibri" w:hAnsi="Calibri"/>
          <w:b/>
          <w:i/>
          <w:color w:val="525866"/>
          <w:sz w:val="22"/>
        </w:rPr>
        <w:t xml:space="preserve">Read-through: </w:t>
      </w:r>
      <w:r>
        <w:rPr>
          <w:rFonts w:ascii="Calibri" w:hAnsi="Calibri"/>
          <w:color w:val="525866"/>
          <w:sz w:val="22"/>
        </w:rPr>
        <w:t>Confirms the data center construction wave is broad-based and benefiting multiple industrial sub-sectors, supporting EMR's behind-the-meter power generation opportunity.</w:t>
      </w:r>
    </w:p>
    <w:p>
      <w:pPr>
        <w:pStyle w:val="ListBullet"/>
        <w:ind w:left="360" w:hanging="360"/>
      </w:pPr>
      <w:r>
        <w:rPr>
          <w:rFonts w:ascii="Calibri" w:hAnsi="Calibri"/>
          <w:b/>
          <w:color w:val="525866"/>
          <w:sz w:val="22"/>
        </w:rPr>
        <w:t xml:space="preserve">Full-year organic growth raised to 3–4% (from 1–3%); Q2 most profitable quarter in company history: </w:t>
      </w:r>
      <w:r>
        <w:rPr>
          <w:rFonts w:ascii="Calibri" w:hAnsi="Calibri"/>
          <w:color w:val="525866"/>
          <w:sz w:val="22"/>
        </w:rPr>
        <w:t xml:space="preserve">ITW's operating margin expanded 40 bps to 26.7%, with enterprise initiatives contributing 120 bps. Acceleration in demand continued into Q3. </w:t>
      </w:r>
      <w:r>
        <w:rPr>
          <w:rFonts w:ascii="Calibri" w:hAnsi="Calibri"/>
          <w:b/>
          <w:i/>
          <w:color w:val="525866"/>
          <w:sz w:val="22"/>
        </w:rPr>
        <w:t xml:space="preserve">Read-through: </w:t>
      </w:r>
      <w:r>
        <w:rPr>
          <w:rFonts w:ascii="Calibri" w:hAnsi="Calibri"/>
          <w:color w:val="525866"/>
          <w:sz w:val="22"/>
        </w:rPr>
        <w:t>Positive for the broader industrial margin expansion narrative; consistent with EMR's own margin improvement trajectory.</w:t>
      </w:r>
    </w:p>
    <w:p>
      <w:pPr>
        <w:pStyle w:val="Heading2"/>
      </w:pPr>
      <w:r>
        <w:rPr>
          <w:rFonts w:ascii="Calibri" w:hAnsi="Calibri"/>
          <w:b/>
          <w:color w:val="3B4259"/>
          <w:sz w:val="28"/>
        </w:rPr>
        <w:t>Rockwell Automation (ROK) — Wells Fargo Industrials Conference (June 11, 2026)</w:t>
      </w:r>
    </w:p>
    <w:p>
      <w:r>
        <w:rPr>
          <w:rFonts w:ascii="Calibri" w:hAnsi="Calibri"/>
          <w:b/>
          <w:color w:val="525866"/>
          <w:sz w:val="22"/>
        </w:rPr>
        <w:t xml:space="preserve">Read-through: </w:t>
      </w:r>
      <w:r>
        <w:rPr>
          <w:rFonts w:ascii="Calibri" w:hAnsi="Calibri"/>
          <w:color w:val="525866"/>
          <w:sz w:val="22"/>
        </w:rPr>
        <w:t>Positive for EMR's data center and semiconductor verticals; cautionary note on large-project CapEx hesitancy.</w:t>
      </w:r>
    </w:p>
    <w:p>
      <w:pPr>
        <w:pStyle w:val="ListBullet"/>
        <w:ind w:left="360" w:hanging="360"/>
      </w:pPr>
      <w:r>
        <w:rPr>
          <w:rFonts w:ascii="Calibri" w:hAnsi="Calibri"/>
          <w:b/>
          <w:color w:val="525866"/>
          <w:sz w:val="22"/>
        </w:rPr>
        <w:t xml:space="preserve">Semiconductor, data center, and warehouse automation driving larger project demand: </w:t>
      </w:r>
      <w:r>
        <w:rPr>
          <w:rFonts w:ascii="Calibri" w:hAnsi="Calibri"/>
          <w:color w:val="525866"/>
          <w:sz w:val="22"/>
        </w:rPr>
        <w:t xml:space="preserve">ROK noted a "broadening of demand and larger projects" in semiconductor, data center, e-commerce/warehouse automation, and parts of energy in Q2. Data center revenue is a "low single digit percent" of revenue but could reach ~5% in the "not too distant future." </w:t>
      </w:r>
      <w:r>
        <w:rPr>
          <w:rFonts w:ascii="Calibri" w:hAnsi="Calibri"/>
          <w:b/>
          <w:i/>
          <w:color w:val="525866"/>
          <w:sz w:val="22"/>
        </w:rPr>
        <w:t xml:space="preserve">Read-through: </w:t>
      </w:r>
      <w:r>
        <w:rPr>
          <w:rFonts w:ascii="Calibri" w:hAnsi="Calibri"/>
          <w:color w:val="525866"/>
          <w:sz w:val="22"/>
        </w:rPr>
        <w:t>Confirms EMR's semiconductor and data center exposure (NI/T&amp;M, Ovation) is operating in a structurally growing market.</w:t>
      </w:r>
    </w:p>
    <w:p>
      <w:pPr>
        <w:pStyle w:val="ListBullet"/>
        <w:ind w:left="360" w:hanging="360"/>
      </w:pPr>
      <w:r>
        <w:rPr>
          <w:rFonts w:ascii="Calibri" w:hAnsi="Calibri"/>
          <w:b/>
          <w:color w:val="525866"/>
          <w:sz w:val="22"/>
        </w:rPr>
        <w:t xml:space="preserve">Energy end market outlook raised; expected to grow high single digits: </w:t>
      </w:r>
      <w:r>
        <w:rPr>
          <w:rFonts w:ascii="Calibri" w:hAnsi="Calibri"/>
          <w:color w:val="525866"/>
          <w:sz w:val="22"/>
        </w:rPr>
        <w:t xml:space="preserve">ROK raised its energy end market outlook for the full year, citing LNG, gas-powered microgrids, data center infrastructure, and energy resilience as drivers. Middle East exposure is "very limited" following JV dissolution, with recovery opportunity in FY2027+. </w:t>
      </w:r>
      <w:r>
        <w:rPr>
          <w:rFonts w:ascii="Calibri" w:hAnsi="Calibri"/>
          <w:b/>
          <w:i/>
          <w:color w:val="525866"/>
          <w:sz w:val="22"/>
        </w:rPr>
        <w:t xml:space="preserve">Read-through: </w:t>
      </w:r>
      <w:r>
        <w:rPr>
          <w:rFonts w:ascii="Calibri" w:hAnsi="Calibri"/>
          <w:color w:val="525866"/>
          <w:sz w:val="22"/>
        </w:rPr>
        <w:t>Positive for EMR's energy/LNG vertical. ROK's limited Middle East exposure means EMR's rebuild opportunity is less contested from this peer.</w:t>
      </w:r>
    </w:p>
    <w:p>
      <w:pPr>
        <w:pStyle w:val="ListBullet"/>
        <w:ind w:left="360" w:hanging="360"/>
      </w:pPr>
      <w:r>
        <w:rPr>
          <w:rFonts w:ascii="Calibri" w:hAnsi="Calibri"/>
          <w:b/>
          <w:color w:val="525866"/>
          <w:sz w:val="22"/>
        </w:rPr>
        <w:t xml:space="preserve">Customers holding off on larger, longer-range CapEx projects due to trade uncertainty: </w:t>
      </w:r>
      <w:r>
        <w:rPr>
          <w:rFonts w:ascii="Calibri" w:hAnsi="Calibri"/>
          <w:color w:val="525866"/>
          <w:sz w:val="22"/>
        </w:rPr>
        <w:t xml:space="preserve">ROK noted that while short-cycle and modernization projects are healthy, customers are deferring larger CapEx decisions due to persistent trade uncertainty, USMCA ambiguity, and geopolitical volatility. </w:t>
      </w:r>
      <w:r>
        <w:rPr>
          <w:rFonts w:ascii="Calibri" w:hAnsi="Calibri"/>
          <w:b/>
          <w:i/>
          <w:color w:val="525866"/>
          <w:sz w:val="22"/>
        </w:rPr>
        <w:t xml:space="preserve">Read-through: </w:t>
      </w:r>
      <w:r>
        <w:rPr>
          <w:rFonts w:ascii="Calibri" w:hAnsi="Calibri"/>
          <w:color w:val="525866"/>
          <w:sz w:val="22"/>
        </w:rPr>
        <w:t>Mild caution for EMR's project funnel conversion — though EMR's growth verticals (power, LNG, life sciences) are driven by secular capex rather than discretionary industrial spend, so the impact may be limited.</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May 5 earnings call is the continued normalization of Middle East operations (customer sites largely operational, field service engineers at 80% of pre-conflict levels) combined with the emergence of a multi-quarter rebuild/restart opportunity — this is the key swing factor for Q3 and H2 revenue.</w:t>
      </w:r>
    </w:p>
    <w:p>
      <w:pPr>
        <w:pStyle w:val="ListBullet"/>
        <w:ind w:left="360" w:hanging="360"/>
      </w:pPr>
      <w:r>
        <w:rPr>
          <w:rFonts w:ascii="Calibri" w:hAnsi="Calibri"/>
          <w:b/>
          <w:color w:val="525866"/>
          <w:sz w:val="22"/>
        </w:rPr>
        <w:t xml:space="preserve">May 5, 2026 — Q2 FY2026 Earnings: EPS beat, revenue slight miss; FY2026 EPS guidance raised. </w:t>
      </w:r>
      <w:r>
        <w:rPr>
          <w:rFonts w:ascii="Calibri" w:hAnsi="Calibri"/>
          <w:color w:val="525866"/>
          <w:sz w:val="22"/>
        </w:rPr>
        <w:t xml:space="preserve">Adjusted EPS of $1.54 beat consensus of $1.531; revenue of $4.562B slightly missed. Adjusted segment EBITA margin of 27.6% exceeded expectations despite 90 bps software renewal drag and 1-pt Middle East headwind. FY2026 EPS guidance raised at bottom and midpoint to $6.45–$6.55. Full-year adjusted segment EBITA margin guidance maintained at ~28%. </w:t>
      </w:r>
      <w:r>
        <w:rPr>
          <w:rFonts w:ascii="Calibri" w:hAnsi="Calibri"/>
          <w:b/>
          <w:i/>
          <w:color w:val="525866"/>
          <w:sz w:val="22"/>
        </w:rPr>
        <w:t xml:space="preserve">Implication: </w:t>
      </w:r>
      <w:r>
        <w:rPr>
          <w:rFonts w:ascii="Calibri" w:hAnsi="Calibri"/>
          <w:color w:val="525866"/>
          <w:sz w:val="22"/>
        </w:rPr>
        <w:t>Sets a constructive baseline for Q3; management demonstrated ability to absorb compounding headwinds while still raising guidance.</w:t>
      </w:r>
    </w:p>
    <w:p>
      <w:pPr>
        <w:pStyle w:val="ListBullet"/>
        <w:ind w:left="360" w:hanging="360"/>
      </w:pPr>
      <w:r>
        <w:rPr>
          <w:rFonts w:ascii="Calibri" w:hAnsi="Calibri"/>
          <w:b/>
          <w:color w:val="525866"/>
          <w:sz w:val="22"/>
        </w:rPr>
        <w:t xml:space="preserve">May 5, 2026 — Middle East Operations Update: </w:t>
      </w:r>
      <w:r>
        <w:rPr>
          <w:rFonts w:ascii="Calibri" w:hAnsi="Calibri"/>
          <w:color w:val="525866"/>
          <w:sz w:val="22"/>
        </w:rPr>
        <w:t xml:space="preserve">Customer sites largely operational by mid-April at ~75% capacity; field service engineers at 80% of pre-conflict levels; manufacturing facilities fully operational. Strait of Hormuz remains effectively closed but alternative logistics routes being implemented. Management quantified a ~$100M rebuild/restart opportunity over several quarters from 47 damaged customer sites. </w:t>
      </w:r>
      <w:r>
        <w:rPr>
          <w:rFonts w:ascii="Calibri" w:hAnsi="Calibri"/>
          <w:b/>
          <w:i/>
          <w:color w:val="525866"/>
          <w:sz w:val="22"/>
        </w:rPr>
        <w:t xml:space="preserve">Implication: </w:t>
      </w:r>
      <w:r>
        <w:rPr>
          <w:rFonts w:ascii="Calibri" w:hAnsi="Calibri"/>
          <w:color w:val="525866"/>
          <w:sz w:val="22"/>
        </w:rPr>
        <w:t>Recovery is progressing; the rebuild opportunity is beginning to materialize and should provide incremental revenue in Q3/Q4.</w:t>
      </w:r>
    </w:p>
    <w:p>
      <w:pPr>
        <w:pStyle w:val="ListBullet"/>
        <w:ind w:left="360" w:hanging="360"/>
      </w:pPr>
      <w:r>
        <w:rPr>
          <w:rFonts w:ascii="Calibri" w:hAnsi="Calibri"/>
          <w:b/>
          <w:color w:val="525866"/>
          <w:sz w:val="22"/>
        </w:rPr>
        <w:t xml:space="preserve">May 5, 2026 — T&amp;M Growth Guidance Raised to Low Teens: </w:t>
      </w:r>
      <w:r>
        <w:rPr>
          <w:rFonts w:ascii="Calibri" w:hAnsi="Calibri"/>
          <w:color w:val="525866"/>
          <w:sz w:val="22"/>
        </w:rPr>
        <w:t xml:space="preserve">Full-year T&amp;M growth guidance raised from high single digits to low teens, with Q3 guided at mid-teens. Driven by sustained momentum in semiconductors, aerospace/defense, and data centers. Automotive (primarily Europe) seen as bottoming. </w:t>
      </w:r>
      <w:r>
        <w:rPr>
          <w:rFonts w:ascii="Calibri" w:hAnsi="Calibri"/>
          <w:b/>
          <w:i/>
          <w:color w:val="525866"/>
          <w:sz w:val="22"/>
        </w:rPr>
        <w:t xml:space="preserve">Implication: </w:t>
      </w:r>
      <w:r>
        <w:rPr>
          <w:rFonts w:ascii="Calibri" w:hAnsi="Calibri"/>
          <w:color w:val="525866"/>
          <w:sz w:val="22"/>
        </w:rPr>
        <w:t>T&amp;M is a meaningful positive surprise driver for Q3; consensus may not fully reflect the raised trajectory.</w:t>
      </w:r>
    </w:p>
    <w:p>
      <w:pPr>
        <w:pStyle w:val="ListBullet"/>
        <w:ind w:left="360" w:hanging="360"/>
      </w:pPr>
      <w:r>
        <w:rPr>
          <w:rFonts w:ascii="Calibri" w:hAnsi="Calibri"/>
          <w:b/>
          <w:color w:val="525866"/>
          <w:sz w:val="22"/>
        </w:rPr>
        <w:t xml:space="preserve">May 5, 2026 — Project Funnel Grows to $11.2B: </w:t>
      </w:r>
      <w:r>
        <w:rPr>
          <w:rFonts w:ascii="Calibri" w:hAnsi="Calibri"/>
          <w:color w:val="525866"/>
          <w:sz w:val="22"/>
        </w:rPr>
        <w:t xml:space="preserve">Project funnel reached a new high of $11.2B, driven by new power vertical opportunities. EMR won ~$450M from the funnel in Q2, with 85% from growth verticals (power, life sciences, LNG). Key wins include NextDecade Rio Grande LNG Train 4 &amp; 5, Oncor AspenTech DGM for Texas grid, and a South Texas aerospace company for NI satellite production. </w:t>
      </w:r>
      <w:r>
        <w:rPr>
          <w:rFonts w:ascii="Calibri" w:hAnsi="Calibri"/>
          <w:b/>
          <w:i/>
          <w:color w:val="525866"/>
          <w:sz w:val="22"/>
        </w:rPr>
        <w:t xml:space="preserve">Implication: </w:t>
      </w:r>
      <w:r>
        <w:rPr>
          <w:rFonts w:ascii="Calibri" w:hAnsi="Calibri"/>
          <w:color w:val="525866"/>
          <w:sz w:val="22"/>
        </w:rPr>
        <w:t>Backlog of $8.2B (+9% YoY) and growing funnel provide strong revenue visibility for Q3 and beyond.</w:t>
      </w:r>
    </w:p>
    <w:p>
      <w:pPr>
        <w:pStyle w:val="ListBullet"/>
        <w:ind w:left="360" w:hanging="360"/>
      </w:pPr>
      <w:r>
        <w:rPr>
          <w:rFonts w:ascii="Calibri" w:hAnsi="Calibri"/>
          <w:b/>
          <w:color w:val="525866"/>
          <w:sz w:val="22"/>
        </w:rPr>
        <w:t xml:space="preserve">May 5, 2026 — LNG FID Momentum Accelerating: </w:t>
      </w:r>
      <w:r>
        <w:rPr>
          <w:rFonts w:ascii="Calibri" w:hAnsi="Calibri"/>
          <w:color w:val="525866"/>
          <w:sz w:val="22"/>
        </w:rPr>
        <w:t xml:space="preserve">Management explicitly cited active FID momentum in US LNG in recent weeks, with incremental US LNG capacity as a partial offset to Middle East supply disruption. A substantial portion of global planned LNG capacity remains unawarded. </w:t>
      </w:r>
      <w:r>
        <w:rPr>
          <w:rFonts w:ascii="Calibri" w:hAnsi="Calibri"/>
          <w:b/>
          <w:i/>
          <w:color w:val="525866"/>
          <w:sz w:val="22"/>
        </w:rPr>
        <w:t xml:space="preserve">Implication: </w:t>
      </w:r>
      <w:r>
        <w:rPr>
          <w:rFonts w:ascii="Calibri" w:hAnsi="Calibri"/>
          <w:color w:val="525866"/>
          <w:sz w:val="22"/>
        </w:rPr>
        <w:t>LNG order runway remains open and is accelerating — a multi-year tailwind for EMR's Software &amp; Systems and Final Control segments.</w:t>
      </w:r>
    </w:p>
    <w:p>
      <w:pPr>
        <w:pStyle w:val="ListBullet"/>
        <w:ind w:left="360" w:hanging="360"/>
      </w:pPr>
      <w:r>
        <w:rPr>
          <w:rFonts w:ascii="Calibri" w:hAnsi="Calibri"/>
          <w:b/>
          <w:color w:val="525866"/>
          <w:sz w:val="22"/>
        </w:rPr>
        <w:t xml:space="preserve">May 5, 2026 — China Outlook Worsened: </w:t>
      </w:r>
      <w:r>
        <w:rPr>
          <w:rFonts w:ascii="Calibri" w:hAnsi="Calibri"/>
          <w:color w:val="525866"/>
          <w:sz w:val="22"/>
        </w:rPr>
        <w:t xml:space="preserve">China now expected to decline mid-single digits for the year (vs. prior low-single-digit decline), driven by chemical sector overcapacity and weak spend. China represents a meaningful portion of EMR's revenue. </w:t>
      </w:r>
      <w:r>
        <w:rPr>
          <w:rFonts w:ascii="Calibri" w:hAnsi="Calibri"/>
          <w:b/>
          <w:i/>
          <w:color w:val="525866"/>
          <w:sz w:val="22"/>
        </w:rPr>
        <w:t xml:space="preserve">Implication: </w:t>
      </w:r>
      <w:r>
        <w:rPr>
          <w:rFonts w:ascii="Calibri" w:hAnsi="Calibri"/>
          <w:color w:val="525866"/>
          <w:sz w:val="22"/>
        </w:rPr>
        <w:t>Ongoing headwind; watch for any further deterioration commentary in Q3.</w:t>
      </w:r>
    </w:p>
    <w:p>
      <w:pPr>
        <w:pStyle w:val="ListBullet"/>
        <w:ind w:left="360" w:hanging="360"/>
      </w:pPr>
      <w:r>
        <w:rPr>
          <w:rFonts w:ascii="Calibri" w:hAnsi="Calibri"/>
          <w:b/>
          <w:color w:val="525866"/>
          <w:sz w:val="22"/>
        </w:rPr>
        <w:t xml:space="preserve">July 14, 2026 — Q3 FY2026 Earnings Date Announced: </w:t>
      </w:r>
      <w:r>
        <w:rPr>
          <w:rFonts w:ascii="Calibri" w:hAnsi="Calibri"/>
          <w:color w:val="525866"/>
          <w:sz w:val="22"/>
        </w:rPr>
        <w:t xml:space="preserve">Emerson scheduled Q3 FY2026 earnings release and conference call. No financial guidance update was provided with this announcement. </w:t>
      </w:r>
      <w:r>
        <w:rPr>
          <w:rFonts w:ascii="Calibri" w:hAnsi="Calibri"/>
          <w:b/>
          <w:i/>
          <w:color w:val="525866"/>
          <w:sz w:val="22"/>
        </w:rPr>
        <w:t xml:space="preserve">Implication: </w:t>
      </w:r>
      <w:r>
        <w:rPr>
          <w:rFonts w:ascii="Calibri" w:hAnsi="Calibri"/>
          <w:color w:val="525866"/>
          <w:sz w:val="22"/>
        </w:rPr>
        <w:t>Confirms the upcoming print; no pre-announcement signal (positive or negative).</w:t>
      </w:r>
    </w:p>
    <w:p>
      <w:pPr>
        <w:pStyle w:val="ListBullet"/>
        <w:ind w:left="360" w:hanging="360"/>
      </w:pPr>
      <w:r>
        <w:rPr>
          <w:rFonts w:ascii="Calibri" w:hAnsi="Calibri"/>
          <w:b/>
          <w:color w:val="525866"/>
          <w:sz w:val="22"/>
        </w:rPr>
        <w:t xml:space="preserve">August 3, 2026 — New Board Member Joins: </w:t>
      </w:r>
      <w:r>
        <w:rPr>
          <w:rFonts w:ascii="Calibri" w:hAnsi="Calibri"/>
          <w:color w:val="525866"/>
          <w:sz w:val="22"/>
        </w:rPr>
        <w:t xml:space="preserve">Jennifer Newstead (SVP and General Counsel of Apple, previously Chief Legal Officer at Meta) joined the board, expanding it to 11 members. Brings technology and legal expertise. </w:t>
      </w:r>
      <w:r>
        <w:rPr>
          <w:rFonts w:ascii="Calibri" w:hAnsi="Calibri"/>
          <w:b/>
          <w:i/>
          <w:color w:val="525866"/>
          <w:sz w:val="22"/>
        </w:rPr>
        <w:t xml:space="preserve">Implication: </w:t>
      </w:r>
      <w:r>
        <w:rPr>
          <w:rFonts w:ascii="Calibri" w:hAnsi="Calibri"/>
          <w:color w:val="525866"/>
          <w:sz w:val="22"/>
        </w:rPr>
        <w:t>Governance positive; technology expertise relevant to EMR's AI and software strategy.</w:t>
      </w:r>
    </w:p>
    <w:p>
      <w:pPr>
        <w:pStyle w:val="ListBullet"/>
        <w:ind w:left="360" w:hanging="360"/>
      </w:pPr>
      <w:r>
        <w:rPr>
          <w:rFonts w:ascii="Calibri" w:hAnsi="Calibri"/>
          <w:b/>
          <w:color w:val="525866"/>
          <w:sz w:val="22"/>
        </w:rPr>
        <w:t xml:space="preserve">Ongoing — AI Revenue Contribution Timing: </w:t>
      </w:r>
      <w:r>
        <w:rPr>
          <w:rFonts w:ascii="Calibri" w:hAnsi="Calibri"/>
          <w:color w:val="525866"/>
          <w:sz w:val="22"/>
        </w:rPr>
        <w:t xml:space="preserve">Management stated AI is not yet generating meaningful near-term revenue but expects it to be a "significant differentiator" in 2027 and beyond. An AI-driven optimization solution was deployed for Aramco. Monetization strategy centers on tiering AI into higher-tier product suites (Ovation, DeltaV, AspenTech, NI/LabVIEW). </w:t>
      </w:r>
      <w:r>
        <w:rPr>
          <w:rFonts w:ascii="Calibri" w:hAnsi="Calibri"/>
          <w:b/>
          <w:i/>
          <w:color w:val="525866"/>
          <w:sz w:val="22"/>
        </w:rPr>
        <w:t xml:space="preserve">Implication: </w:t>
      </w:r>
      <w:r>
        <w:rPr>
          <w:rFonts w:ascii="Calibri" w:hAnsi="Calibri"/>
          <w:color w:val="525866"/>
          <w:sz w:val="22"/>
        </w:rPr>
        <w:t>Not a Q3 catalyst, but a 2027+ earnings driver that supports the premium multiple.</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Only one open-market transaction was filed since the last earnings call — a discretionary sale by the COO through a trust on June 1, 2026. The sale is not on a 10b5-1 plan, which warrants attention, though the size (~$1.5M at ~$130/share) is modest relative to the COO's remaining position of 159,639 shares. No insider buying has been reported.</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Krishnan Ram R.</w:t>
            </w:r>
          </w:p>
        </w:tc>
        <w:tc>
          <w:tcPr>
            <w:tcW w:type="dxa" w:w="1440"/>
          </w:tcPr>
          <w:p>
            <w:r>
              <w:rPr>
                <w:rFonts w:ascii="Calibri" w:hAnsi="Calibri"/>
                <w:sz w:val="22"/>
              </w:rPr>
              <w:t>Executive Vice President &amp; COO</w:t>
            </w:r>
          </w:p>
        </w:tc>
        <w:tc>
          <w:tcPr>
            <w:tcW w:type="dxa" w:w="1440"/>
          </w:tcPr>
          <w:p>
            <w:r>
              <w:rPr>
                <w:rFonts w:ascii="Calibri" w:hAnsi="Calibri"/>
                <w:sz w:val="22"/>
              </w:rPr>
              <w:t>Open Market Sale (Indirect — By Trust)</w:t>
            </w:r>
          </w:p>
        </w:tc>
        <w:tc>
          <w:tcPr>
            <w:tcW w:type="dxa" w:w="1440"/>
          </w:tcPr>
          <w:p>
            <w:r>
              <w:rPr>
                <w:rFonts w:ascii="Calibri" w:hAnsi="Calibri"/>
                <w:sz w:val="22"/>
              </w:rPr>
              <w:t>11,500 shares</w:t>
            </w:r>
          </w:p>
        </w:tc>
        <w:tc>
          <w:tcPr>
            <w:tcW w:type="dxa" w:w="1440"/>
          </w:tcPr>
          <w:p>
            <w:r>
              <w:rPr>
                <w:rFonts w:ascii="Calibri" w:hAnsi="Calibri"/>
                <w:sz w:val="22"/>
              </w:rPr>
              <w:t>June 1, 2026</w:t>
            </w:r>
          </w:p>
        </w:tc>
        <w:tc>
          <w:tcPr>
            <w:tcW w:type="dxa" w:w="1440"/>
          </w:tcPr>
          <w:p>
            <w:r>
              <w:rPr>
                <w:rFonts w:ascii="Calibri" w:hAnsi="Calibri"/>
                <w:sz w:val="22"/>
              </w:rPr>
              <w:t>Not a 10b5-1 plan; sold through trust; 159,639 shares remain. Discretionary sale — modest size but worth monitoring given no plan designation.</w:t>
            </w:r>
          </w:p>
        </w:tc>
      </w:tr>
    </w:tbl>
    <w:p>
      <w:r>
        <w:rPr>
          <w:rFonts w:ascii="Calibri" w:hAnsi="Calibri"/>
          <w:color w:val="525866"/>
          <w:sz w:val="22"/>
        </w:rPr>
        <w:t>Source: SEC Form 4 Filings Database (Insider Transaction Data). Filing date: June 2, 2026; transaction date: June 1, 2026. No open-market purchases have been reported by any EMR insider since the May 5, 2026 earnings call. The absence of buying is not unusual given the stock's strong post-earnings performance (+11.9% since May 5), which may have reduced the perceived value opportunity for insiders. The single discretionary sale by the COO is not alarming in isolation but is worth flagging given the lack of a 10b5-1 plan designation.</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