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Emerson Electric Co. (EMR) — Q3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Emerson Electric Co.</w:t>
            </w:r>
          </w:p>
        </w:tc>
        <w:tc>
          <w:tcPr>
            <w:tcW w:type="dxa" w:w="2160"/>
          </w:tcPr>
          <w:p>
            <w:r>
              <w:rPr>
                <w:rFonts w:ascii="Calibri" w:hAnsi="Calibri"/>
                <w:b/>
                <w:sz w:val="22"/>
              </w:rPr>
              <w:t>Earnings Date</w:t>
            </w:r>
          </w:p>
        </w:tc>
        <w:tc>
          <w:tcPr>
            <w:tcW w:type="dxa" w:w="2160"/>
          </w:tcPr>
          <w:p>
            <w:r>
              <w:rPr>
                <w:rFonts w:ascii="Calibri" w:hAnsi="Calibri"/>
                <w:sz w:val="22"/>
              </w:rPr>
              <w:t>August 4, 2026 (After Close)</w:t>
            </w:r>
          </w:p>
        </w:tc>
      </w:tr>
      <w:tr>
        <w:tc>
          <w:tcPr>
            <w:tcW w:type="dxa" w:w="2160"/>
          </w:tcPr>
          <w:p>
            <w:r>
              <w:rPr>
                <w:rFonts w:ascii="Calibri" w:hAnsi="Calibri"/>
                <w:b/>
                <w:sz w:val="22"/>
              </w:rPr>
              <w:t>Ticker</w:t>
            </w:r>
          </w:p>
        </w:tc>
        <w:tc>
          <w:tcPr>
            <w:tcW w:type="dxa" w:w="2160"/>
          </w:tcPr>
          <w:p>
            <w:r>
              <w:rPr>
                <w:rFonts w:ascii="Calibri" w:hAnsi="Calibri"/>
                <w:sz w:val="22"/>
              </w:rPr>
              <w:t>EMR (NYSE)</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Reporting Period</w:t>
            </w:r>
          </w:p>
        </w:tc>
        <w:tc>
          <w:tcPr>
            <w:tcW w:type="dxa" w:w="2160"/>
          </w:tcPr>
          <w:p>
            <w:r>
              <w:rPr>
                <w:rFonts w:ascii="Calibri" w:hAnsi="Calibri"/>
                <w:sz w:val="22"/>
              </w:rPr>
              <w:t>Q3 FY2026 (Quarter ended June 30, 2026)</w:t>
            </w:r>
          </w:p>
        </w:tc>
        <w:tc>
          <w:tcPr>
            <w:tcW w:type="dxa" w:w="2160"/>
          </w:tcPr>
          <w:p>
            <w:r>
              <w:rPr>
                <w:rFonts w:ascii="Calibri" w:hAnsi="Calibri"/>
                <w:b/>
                <w:sz w:val="22"/>
              </w:rPr>
              <w:t>Sector ETF</w:t>
            </w:r>
          </w:p>
        </w:tc>
        <w:tc>
          <w:tcPr>
            <w:tcW w:type="dxa" w:w="2160"/>
          </w:tcPr>
          <w:p>
            <w:r>
              <w:rPr>
                <w:rFonts w:ascii="Calibri" w:hAnsi="Calibri"/>
                <w:sz w:val="22"/>
              </w:rPr>
              <w:t>XLI (Industrial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is a manageable bar, management raised EPS guidance at Q2, and the biggest swing factor is whether </w:t>
      </w:r>
      <w:r>
        <w:rPr>
          <w:rFonts w:ascii="Calibri" w:hAnsi="Calibri"/>
          <w:b/>
          <w:color w:val="525866"/>
          <w:sz w:val="22"/>
        </w:rPr>
        <w:t>orders momentum and margin execution</w:t>
      </w:r>
      <w:r>
        <w:rPr>
          <w:rFonts w:ascii="Calibri" w:hAnsi="Calibri"/>
          <w:color w:val="525866"/>
          <w:sz w:val="22"/>
        </w:rPr>
        <w:t xml:space="preserve"> can offset the lingering Middle East drag and China softness.</w:t>
      </w:r>
    </w:p>
    <w:p>
      <w:r>
        <w:rPr>
          <w:rFonts w:ascii="Calibri" w:hAnsi="Calibri"/>
          <w:color w:val="525866"/>
          <w:sz w:val="22"/>
        </w:rPr>
        <w:t xml:space="preserve">Heading into the Q3 FY2026 print, the bar looks achievable: consensus sits at </w:t>
      </w:r>
      <w:r>
        <w:rPr>
          <w:rFonts w:ascii="Calibri" w:hAnsi="Calibri"/>
          <w:b/>
          <w:color w:val="525866"/>
          <w:sz w:val="22"/>
        </w:rPr>
        <w:t>$1.68 adjusted EPS</w:t>
      </w:r>
      <w:r>
        <w:rPr>
          <w:rFonts w:ascii="Calibri" w:hAnsi="Calibri"/>
          <w:color w:val="525866"/>
          <w:sz w:val="22"/>
        </w:rPr>
        <w:t xml:space="preserve"> and ~$4.80B in revenue, both broadly in line with management's own guided range of $1.65–$1.70 and ~5% underlying sales growth. Management raised the EPS floor and midpoint at Q2 earnings (May 5), signaling confidence in the second-half ramp, and the estimate revision trail since then has been remarkably stable — EPS for Q3 has barely moved from the post-print baseline of $1.67, suggesting the Street has already absorbed the Middle East headwind and is not pricing in incremental risk. The stock has rallied ~11% over the past month and ~13% over three months, with the move driven roughly equally by multiple expansion and earnings revision, leaving the NTM EV/EBITDA at ~16.4x — a slight premium to the 12-month average of ~17.5x but not stretched given the margin expansion story. The </w:t>
      </w:r>
      <w:r>
        <w:rPr>
          <w:rFonts w:ascii="Calibri" w:hAnsi="Calibri"/>
          <w:b/>
          <w:color w:val="525866"/>
          <w:sz w:val="22"/>
        </w:rPr>
        <w:t>wildcard</w:t>
      </w:r>
      <w:r>
        <w:rPr>
          <w:rFonts w:ascii="Calibri" w:hAnsi="Calibri"/>
          <w:color w:val="525866"/>
          <w:sz w:val="22"/>
        </w:rPr>
        <w:t xml:space="preserve"> is orders: Q2 came in at +5% (decelerating from +9% in Q1), and any re-acceleration toward the high single digits — particularly in power and LNG verticals — would be the single biggest positive catalyst, while a further deceleration or a deterioration in China beyond the guided mid-single-digit decline would be the key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low-to-fair bar</w:t>
      </w:r>
      <w:r>
        <w:rPr>
          <w:rFonts w:ascii="Calibri" w:hAnsi="Calibri"/>
          <w:color w:val="525866"/>
          <w:sz w:val="22"/>
        </w:rPr>
        <w:t xml:space="preserve"> heading into Q3 — management guided explicitly to $1.65–$1.70 adjusted EPS and ~5% underlying sales growth, and the Street sits at the midpoint. </w:t>
      </w:r>
      <w:r>
        <w:rPr>
          <w:rFonts w:ascii="Calibri" w:hAnsi="Calibri"/>
          <w:b/>
          <w:color w:val="525866"/>
          <w:sz w:val="22"/>
        </w:rPr>
        <w:t>Adjusted segment EBITA margin</w:t>
      </w:r>
      <w:r>
        <w:rPr>
          <w:rFonts w:ascii="Calibri" w:hAnsi="Calibri"/>
          <w:color w:val="525866"/>
          <w:sz w:val="22"/>
        </w:rPr>
        <w:t xml:space="preserve"> is the bigger swing factor: any upside to the guided ~28% would be the clearest signal of operational leverage and would likely drive the stock.</w:t>
      </w:r>
    </w:p>
    <w:p>
      <w:pPr>
        <w:pStyle w:val="Heading3"/>
      </w:pPr>
      <w:r>
        <w:rPr>
          <w:rFonts w:ascii="Calibri" w:hAnsi="Calibri"/>
          <w:b/>
          <w:color w:val="3B4259"/>
          <w:sz w:val="24"/>
        </w:rPr>
        <w:t>Table 1 — Current Quarter Snapshot (Q3 FY2026,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 (Q3)</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$4.562B</w:t>
            </w:r>
          </w:p>
        </w:tc>
        <w:tc>
          <w:tcPr>
            <w:tcW w:type="dxa" w:w="1234"/>
          </w:tcPr>
          <w:p>
            <w:r>
              <w:rPr>
                <w:rFonts w:ascii="Calibri" w:hAnsi="Calibri"/>
                <w:sz w:val="22"/>
              </w:rPr>
              <w:t>$4.553B</w:t>
            </w:r>
          </w:p>
        </w:tc>
        <w:tc>
          <w:tcPr>
            <w:tcW w:type="dxa" w:w="1234"/>
          </w:tcPr>
          <w:p>
            <w:r>
              <w:rPr>
                <w:rFonts w:ascii="Calibri" w:hAnsi="Calibri"/>
                <w:sz w:val="22"/>
              </w:rPr>
              <w:t>$4.801B</w:t>
            </w:r>
          </w:p>
        </w:tc>
        <w:tc>
          <w:tcPr>
            <w:tcW w:type="dxa" w:w="1234"/>
          </w:tcPr>
          <w:p>
            <w:r>
              <w:rPr>
                <w:rFonts w:ascii="Calibri" w:hAnsi="Calibri"/>
                <w:sz w:val="22"/>
              </w:rPr>
              <w:t>+5.4%</w:t>
            </w:r>
          </w:p>
        </w:tc>
        <w:tc>
          <w:tcPr>
            <w:tcW w:type="dxa" w:w="1234"/>
          </w:tcPr>
          <w:p>
            <w:r>
              <w:rPr>
                <w:rFonts w:ascii="Calibri" w:hAnsi="Calibri"/>
                <w:sz w:val="22"/>
              </w:rPr>
              <w:t>~5.5% reported growth (~$4.80B implied)</w:t>
            </w:r>
          </w:p>
        </w:tc>
        <w:tc>
          <w:tcPr>
            <w:tcW w:type="dxa" w:w="1234"/>
          </w:tcPr>
          <w:p>
            <w:r>
              <w:rPr>
                <w:rFonts w:ascii="Calibri" w:hAnsi="Calibri"/>
                <w:sz w:val="22"/>
              </w:rPr>
              <w:t>~0%</w:t>
            </w:r>
          </w:p>
        </w:tc>
      </w:tr>
      <w:tr>
        <w:tc>
          <w:tcPr>
            <w:tcW w:type="dxa" w:w="1234"/>
          </w:tcPr>
          <w:p>
            <w:r>
              <w:rPr>
                <w:rFonts w:ascii="Calibri" w:hAnsi="Calibri"/>
                <w:sz w:val="22"/>
              </w:rPr>
              <w:t>Adj. EPS - Diluted - Operating ($)</w:t>
            </w:r>
          </w:p>
        </w:tc>
        <w:tc>
          <w:tcPr>
            <w:tcW w:type="dxa" w:w="1234"/>
          </w:tcPr>
          <w:p>
            <w:r>
              <w:rPr>
                <w:rFonts w:ascii="Calibri" w:hAnsi="Calibri"/>
                <w:sz w:val="22"/>
              </w:rPr>
              <w:t>$1.54</w:t>
            </w:r>
          </w:p>
        </w:tc>
        <w:tc>
          <w:tcPr>
            <w:tcW w:type="dxa" w:w="1234"/>
          </w:tcPr>
          <w:p>
            <w:r>
              <w:rPr>
                <w:rFonts w:ascii="Calibri" w:hAnsi="Calibri"/>
                <w:sz w:val="22"/>
              </w:rPr>
              <w:t>$1.52</w:t>
            </w:r>
          </w:p>
        </w:tc>
        <w:tc>
          <w:tcPr>
            <w:tcW w:type="dxa" w:w="1234"/>
          </w:tcPr>
          <w:p>
            <w:r>
              <w:rPr>
                <w:rFonts w:ascii="Calibri" w:hAnsi="Calibri"/>
                <w:sz w:val="22"/>
              </w:rPr>
              <w:t>$1.68</w:t>
            </w:r>
          </w:p>
        </w:tc>
        <w:tc>
          <w:tcPr>
            <w:tcW w:type="dxa" w:w="1234"/>
          </w:tcPr>
          <w:p>
            <w:r>
              <w:rPr>
                <w:rFonts w:ascii="Calibri" w:hAnsi="Calibri"/>
                <w:sz w:val="22"/>
              </w:rPr>
              <w:t>+10.5%</w:t>
            </w:r>
          </w:p>
        </w:tc>
        <w:tc>
          <w:tcPr>
            <w:tcW w:type="dxa" w:w="1234"/>
          </w:tcPr>
          <w:p>
            <w:r>
              <w:rPr>
                <w:rFonts w:ascii="Calibri" w:hAnsi="Calibri"/>
                <w:sz w:val="22"/>
              </w:rPr>
              <w:t>$1.65–$1.70 (mid: $1.675)</w:t>
            </w:r>
          </w:p>
        </w:tc>
        <w:tc>
          <w:tcPr>
            <w:tcW w:type="dxa" w:w="1234"/>
          </w:tcPr>
          <w:p>
            <w:r>
              <w:rPr>
                <w:rFonts w:ascii="Calibri" w:hAnsi="Calibri"/>
                <w:sz w:val="22"/>
              </w:rPr>
              <w:t>+0.3%</w:t>
            </w:r>
          </w:p>
        </w:tc>
      </w:tr>
      <w:tr>
        <w:tc>
          <w:tcPr>
            <w:tcW w:type="dxa" w:w="1234"/>
          </w:tcPr>
          <w:p>
            <w:r>
              <w:rPr>
                <w:rFonts w:ascii="Calibri" w:hAnsi="Calibri"/>
                <w:sz w:val="22"/>
              </w:rPr>
              <w:t>Organic Sales Growth (%)</w:t>
            </w:r>
          </w:p>
        </w:tc>
        <w:tc>
          <w:tcPr>
            <w:tcW w:type="dxa" w:w="1234"/>
          </w:tcPr>
          <w:p>
            <w:r>
              <w:rPr>
                <w:rFonts w:ascii="Calibri" w:hAnsi="Calibri"/>
                <w:sz w:val="22"/>
              </w:rPr>
              <w:t>+0.4%</w:t>
            </w:r>
          </w:p>
        </w:tc>
        <w:tc>
          <w:tcPr>
            <w:tcW w:type="dxa" w:w="1234"/>
          </w:tcPr>
          <w:p>
            <w:r>
              <w:rPr>
                <w:rFonts w:ascii="Calibri" w:hAnsi="Calibri"/>
                <w:sz w:val="22"/>
              </w:rPr>
              <w:t>+2.5%</w:t>
            </w:r>
          </w:p>
        </w:tc>
        <w:tc>
          <w:tcPr>
            <w:tcW w:type="dxa" w:w="1234"/>
          </w:tcPr>
          <w:p>
            <w:r>
              <w:rPr>
                <w:rFonts w:ascii="Calibri" w:hAnsi="Calibri"/>
                <w:sz w:val="22"/>
              </w:rPr>
              <w:t>~4.8%</w:t>
            </w:r>
          </w:p>
        </w:tc>
        <w:tc>
          <w:tcPr>
            <w:tcW w:type="dxa" w:w="1234"/>
          </w:tcPr>
          <w:p>
            <w:r>
              <w:rPr>
                <w:rFonts w:ascii="Calibri" w:hAnsi="Calibri"/>
                <w:sz w:val="22"/>
              </w:rPr>
              <w:t>+~230 bps YoY</w:t>
            </w:r>
          </w:p>
        </w:tc>
        <w:tc>
          <w:tcPr>
            <w:tcW w:type="dxa" w:w="1234"/>
          </w:tcPr>
          <w:p>
            <w:r>
              <w:rPr>
                <w:rFonts w:ascii="Calibri" w:hAnsi="Calibri"/>
                <w:sz w:val="22"/>
              </w:rPr>
              <w:t>~5%</w:t>
            </w:r>
          </w:p>
        </w:tc>
        <w:tc>
          <w:tcPr>
            <w:tcW w:type="dxa" w:w="1234"/>
          </w:tcPr>
          <w:p>
            <w:r>
              <w:rPr>
                <w:rFonts w:ascii="Calibri" w:hAnsi="Calibri"/>
                <w:sz w:val="22"/>
              </w:rPr>
              <w:t>~(20 bps)</w:t>
            </w:r>
          </w:p>
        </w:tc>
      </w:tr>
      <w:tr>
        <w:tc>
          <w:tcPr>
            <w:tcW w:type="dxa" w:w="1234"/>
          </w:tcPr>
          <w:p>
            <w:r>
              <w:rPr>
                <w:rFonts w:ascii="Calibri" w:hAnsi="Calibri"/>
                <w:sz w:val="22"/>
              </w:rPr>
              <w:t>Adj. Segment EBITA Margin (%)</w:t>
            </w:r>
          </w:p>
        </w:tc>
        <w:tc>
          <w:tcPr>
            <w:tcW w:type="dxa" w:w="1234"/>
          </w:tcPr>
          <w:p>
            <w:r>
              <w:rPr>
                <w:rFonts w:ascii="Calibri" w:hAnsi="Calibri"/>
                <w:sz w:val="22"/>
              </w:rPr>
              <w:t>26.2% (Q2 actual: 27.6% reported; 26.2% VA consensus)</w:t>
            </w:r>
          </w:p>
        </w:tc>
        <w:tc>
          <w:tcPr>
            <w:tcW w:type="dxa" w:w="1234"/>
          </w:tcPr>
          <w:p>
            <w:r>
              <w:rPr>
                <w:rFonts w:ascii="Calibri" w:hAnsi="Calibri"/>
                <w:sz w:val="22"/>
              </w:rPr>
              <w:t>26.0%</w:t>
            </w:r>
          </w:p>
        </w:tc>
        <w:tc>
          <w:tcPr>
            <w:tcW w:type="dxa" w:w="1234"/>
          </w:tcPr>
          <w:p>
            <w:r>
              <w:rPr>
                <w:rFonts w:ascii="Calibri" w:hAnsi="Calibri"/>
                <w:sz w:val="22"/>
              </w:rPr>
              <w:t>~26.6%</w:t>
            </w:r>
          </w:p>
        </w:tc>
        <w:tc>
          <w:tcPr>
            <w:tcW w:type="dxa" w:w="1234"/>
          </w:tcPr>
          <w:p>
            <w:r>
              <w:rPr>
                <w:rFonts w:ascii="Calibri" w:hAnsi="Calibri"/>
                <w:sz w:val="22"/>
              </w:rPr>
              <w:t>+~60 bps YoY</w:t>
            </w:r>
          </w:p>
        </w:tc>
        <w:tc>
          <w:tcPr>
            <w:tcW w:type="dxa" w:w="1234"/>
          </w:tcPr>
          <w:p>
            <w:r>
              <w:rPr>
                <w:rFonts w:ascii="Calibri" w:hAnsi="Calibri"/>
                <w:sz w:val="22"/>
              </w:rPr>
              <w:t>~28% (adj. segment EBITDA)</w:t>
            </w:r>
          </w:p>
        </w:tc>
        <w:tc>
          <w:tcPr>
            <w:tcW w:type="dxa" w:w="1234"/>
          </w:tcPr>
          <w:p>
            <w:r>
              <w:rPr>
                <w:rFonts w:ascii="Calibri" w:hAnsi="Calibri"/>
                <w:sz w:val="22"/>
              </w:rPr>
              <w:t>~(140 bps) vs. guided ~28%</w:t>
            </w:r>
          </w:p>
        </w:tc>
      </w:tr>
      <w:tr>
        <w:tc>
          <w:tcPr>
            <w:tcW w:type="dxa" w:w="1234"/>
          </w:tcPr>
          <w:p>
            <w:r>
              <w:rPr>
                <w:rFonts w:ascii="Calibri" w:hAnsi="Calibri"/>
                <w:sz w:val="22"/>
              </w:rPr>
              <w:t>Free Cash Flow ($B)</w:t>
            </w:r>
          </w:p>
        </w:tc>
        <w:tc>
          <w:tcPr>
            <w:tcW w:type="dxa" w:w="1234"/>
          </w:tcPr>
          <w:p>
            <w:r>
              <w:rPr>
                <w:rFonts w:ascii="Calibri" w:hAnsi="Calibri"/>
                <w:sz w:val="22"/>
              </w:rPr>
              <w:t>$0.694B</w:t>
            </w:r>
          </w:p>
        </w:tc>
        <w:tc>
          <w:tcPr>
            <w:tcW w:type="dxa" w:w="1234"/>
          </w:tcPr>
          <w:p>
            <w:r>
              <w:rPr>
                <w:rFonts w:ascii="Calibri" w:hAnsi="Calibri"/>
                <w:sz w:val="22"/>
              </w:rPr>
              <w:t>$0.968B</w:t>
            </w:r>
          </w:p>
        </w:tc>
        <w:tc>
          <w:tcPr>
            <w:tcW w:type="dxa" w:w="1234"/>
          </w:tcPr>
          <w:p>
            <w:r>
              <w:rPr>
                <w:rFonts w:ascii="Calibri" w:hAnsi="Calibri"/>
                <w:sz w:val="22"/>
              </w:rPr>
              <w:t>$1.132B</w:t>
            </w:r>
          </w:p>
        </w:tc>
        <w:tc>
          <w:tcPr>
            <w:tcW w:type="dxa" w:w="1234"/>
          </w:tcPr>
          <w:p>
            <w:r>
              <w:rPr>
                <w:rFonts w:ascii="Calibri" w:hAnsi="Calibri"/>
                <w:sz w:val="22"/>
              </w:rPr>
              <w:t>+16.9%</w:t>
            </w:r>
          </w:p>
        </w:tc>
        <w:tc>
          <w:tcPr>
            <w:tcW w:type="dxa" w:w="1234"/>
          </w:tcPr>
          <w:p>
            <w:r>
              <w:rPr>
                <w:rFonts w:ascii="Calibri" w:hAnsi="Calibri"/>
                <w:sz w:val="22"/>
              </w:rPr>
              <w:t>FY26: $3.5B–$3.6B</w:t>
            </w:r>
          </w:p>
        </w:tc>
        <w:tc>
          <w:tcPr>
            <w:tcW w:type="dxa" w:w="1234"/>
          </w:tcPr>
          <w:p>
            <w:r>
              <w:rPr>
                <w:rFonts w:ascii="Calibri" w:hAnsi="Calibri"/>
                <w:sz w:val="22"/>
              </w:rPr>
              <w:t>N/A (Q-level)</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Adjusted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$1.54</w:t>
            </w:r>
          </w:p>
        </w:tc>
        <w:tc>
          <w:tcPr>
            <w:tcW w:type="dxa" w:w="1728"/>
          </w:tcPr>
          <w:p>
            <w:r>
              <w:rPr>
                <w:rFonts w:ascii="Calibri" w:hAnsi="Calibri"/>
                <w:sz w:val="22"/>
              </w:rPr>
              <w:t>$1.531</w:t>
            </w:r>
          </w:p>
        </w:tc>
        <w:tc>
          <w:tcPr>
            <w:tcW w:type="dxa" w:w="1728"/>
          </w:tcPr>
          <w:p>
            <w:r>
              <w:rPr>
                <w:rFonts w:ascii="Calibri" w:hAnsi="Calibri"/>
                <w:sz w:val="22"/>
              </w:rPr>
              <w:t>+0.6%</w:t>
            </w:r>
          </w:p>
        </w:tc>
        <w:tc>
          <w:tcPr>
            <w:tcW w:type="dxa" w:w="1728"/>
          </w:tcPr>
          <w:p>
            <w:r>
              <w:rPr>
                <w:rFonts w:ascii="Calibri" w:hAnsi="Calibri"/>
                <w:sz w:val="22"/>
              </w:rPr>
              <w:t>✅ Beat</w:t>
            </w:r>
          </w:p>
        </w:tc>
      </w:tr>
      <w:tr>
        <w:tc>
          <w:tcPr>
            <w:tcW w:type="dxa" w:w="1728"/>
          </w:tcPr>
          <w:p>
            <w:r>
              <w:rPr>
                <w:rFonts w:ascii="Calibri" w:hAnsi="Calibri"/>
                <w:sz w:val="22"/>
              </w:rPr>
              <w:t>Q1 FY2026 (Dec 2025)</w:t>
            </w:r>
          </w:p>
        </w:tc>
        <w:tc>
          <w:tcPr>
            <w:tcW w:type="dxa" w:w="1728"/>
          </w:tcPr>
          <w:p>
            <w:r>
              <w:rPr>
                <w:rFonts w:ascii="Calibri" w:hAnsi="Calibri"/>
                <w:sz w:val="22"/>
              </w:rPr>
              <w:t>$1.46</w:t>
            </w:r>
          </w:p>
        </w:tc>
        <w:tc>
          <w:tcPr>
            <w:tcW w:type="dxa" w:w="1728"/>
          </w:tcPr>
          <w:p>
            <w:r>
              <w:rPr>
                <w:rFonts w:ascii="Calibri" w:hAnsi="Calibri"/>
                <w:sz w:val="22"/>
              </w:rPr>
              <w:t>$1.409</w:t>
            </w:r>
          </w:p>
        </w:tc>
        <w:tc>
          <w:tcPr>
            <w:tcW w:type="dxa" w:w="1728"/>
          </w:tcPr>
          <w:p>
            <w:r>
              <w:rPr>
                <w:rFonts w:ascii="Calibri" w:hAnsi="Calibri"/>
                <w:sz w:val="22"/>
              </w:rPr>
              <w:t>+3.6%</w:t>
            </w:r>
          </w:p>
        </w:tc>
        <w:tc>
          <w:tcPr>
            <w:tcW w:type="dxa" w:w="1728"/>
          </w:tcPr>
          <w:p>
            <w:r>
              <w:rPr>
                <w:rFonts w:ascii="Calibri" w:hAnsi="Calibri"/>
                <w:sz w:val="22"/>
              </w:rPr>
              <w:t>✅ Beat</w:t>
            </w:r>
          </w:p>
        </w:tc>
      </w:tr>
      <w:tr>
        <w:tc>
          <w:tcPr>
            <w:tcW w:type="dxa" w:w="1728"/>
          </w:tcPr>
          <w:p>
            <w:r>
              <w:rPr>
                <w:rFonts w:ascii="Calibri" w:hAnsi="Calibri"/>
                <w:sz w:val="22"/>
              </w:rPr>
              <w:t>Q4 FY2025 (Sep 2025)</w:t>
            </w:r>
          </w:p>
        </w:tc>
        <w:tc>
          <w:tcPr>
            <w:tcW w:type="dxa" w:w="1728"/>
          </w:tcPr>
          <w:p>
            <w:r>
              <w:rPr>
                <w:rFonts w:ascii="Calibri" w:hAnsi="Calibri"/>
                <w:sz w:val="22"/>
              </w:rPr>
              <w:t>$1.629</w:t>
            </w:r>
          </w:p>
        </w:tc>
        <w:tc>
          <w:tcPr>
            <w:tcW w:type="dxa" w:w="1728"/>
          </w:tcPr>
          <w:p>
            <w:r>
              <w:rPr>
                <w:rFonts w:ascii="Calibri" w:hAnsi="Calibri"/>
                <w:sz w:val="22"/>
              </w:rPr>
              <w:t>$1.616</w:t>
            </w:r>
          </w:p>
        </w:tc>
        <w:tc>
          <w:tcPr>
            <w:tcW w:type="dxa" w:w="1728"/>
          </w:tcPr>
          <w:p>
            <w:r>
              <w:rPr>
                <w:rFonts w:ascii="Calibri" w:hAnsi="Calibri"/>
                <w:sz w:val="22"/>
              </w:rPr>
              <w:t>+0.8%</w:t>
            </w:r>
          </w:p>
        </w:tc>
        <w:tc>
          <w:tcPr>
            <w:tcW w:type="dxa" w:w="1728"/>
          </w:tcPr>
          <w:p>
            <w:r>
              <w:rPr>
                <w:rFonts w:ascii="Calibri" w:hAnsi="Calibri"/>
                <w:sz w:val="22"/>
              </w:rPr>
              <w:t>✅ Beat</w:t>
            </w:r>
          </w:p>
        </w:tc>
      </w:tr>
      <w:tr>
        <w:tc>
          <w:tcPr>
            <w:tcW w:type="dxa" w:w="1728"/>
          </w:tcPr>
          <w:p>
            <w:r>
              <w:rPr>
                <w:rFonts w:ascii="Calibri" w:hAnsi="Calibri"/>
                <w:sz w:val="22"/>
              </w:rPr>
              <w:t>Q3 FY2025 (Jun 2025)</w:t>
            </w:r>
          </w:p>
        </w:tc>
        <w:tc>
          <w:tcPr>
            <w:tcW w:type="dxa" w:w="1728"/>
          </w:tcPr>
          <w:p>
            <w:r>
              <w:rPr>
                <w:rFonts w:ascii="Calibri" w:hAnsi="Calibri"/>
                <w:sz w:val="22"/>
              </w:rPr>
              <w:t>$1.52</w:t>
            </w:r>
          </w:p>
        </w:tc>
        <w:tc>
          <w:tcPr>
            <w:tcW w:type="dxa" w:w="1728"/>
          </w:tcPr>
          <w:p>
            <w:r>
              <w:rPr>
                <w:rFonts w:ascii="Calibri" w:hAnsi="Calibri"/>
                <w:sz w:val="22"/>
              </w:rPr>
              <w:t>$1.520</w:t>
            </w:r>
          </w:p>
        </w:tc>
        <w:tc>
          <w:tcPr>
            <w:tcW w:type="dxa" w:w="1728"/>
          </w:tcPr>
          <w:p>
            <w:r>
              <w:rPr>
                <w:rFonts w:ascii="Calibri" w:hAnsi="Calibri"/>
                <w:sz w:val="22"/>
              </w:rPr>
              <w:t>0.0%</w:t>
            </w:r>
          </w:p>
        </w:tc>
        <w:tc>
          <w:tcPr>
            <w:tcW w:type="dxa" w:w="1728"/>
          </w:tcPr>
          <w:p>
            <w:r>
              <w:rPr>
                <w:rFonts w:ascii="Calibri" w:hAnsi="Calibri"/>
                <w:sz w:val="22"/>
              </w:rPr>
              <w:t>➡ In-Line</w:t>
            </w:r>
          </w:p>
        </w:tc>
      </w:tr>
      <w:tr>
        <w:tc>
          <w:tcPr>
            <w:tcW w:type="dxa" w:w="1728"/>
          </w:tcPr>
          <w:p>
            <w:r>
              <w:rPr>
                <w:rFonts w:ascii="Calibri" w:hAnsi="Calibri"/>
                <w:sz w:val="22"/>
              </w:rPr>
              <w:t>Q2 FY2025 (Mar 2025)</w:t>
            </w:r>
          </w:p>
        </w:tc>
        <w:tc>
          <w:tcPr>
            <w:tcW w:type="dxa" w:w="1728"/>
          </w:tcPr>
          <w:p>
            <w:r>
              <w:rPr>
                <w:rFonts w:ascii="Calibri" w:hAnsi="Calibri"/>
                <w:sz w:val="22"/>
              </w:rPr>
              <w:t>$1.48</w:t>
            </w:r>
          </w:p>
        </w:tc>
        <w:tc>
          <w:tcPr>
            <w:tcW w:type="dxa" w:w="1728"/>
          </w:tcPr>
          <w:p>
            <w:r>
              <w:rPr>
                <w:rFonts w:ascii="Calibri" w:hAnsi="Calibri"/>
                <w:sz w:val="22"/>
              </w:rPr>
              <w:t>$1.417</w:t>
            </w:r>
          </w:p>
        </w:tc>
        <w:tc>
          <w:tcPr>
            <w:tcW w:type="dxa" w:w="1728"/>
          </w:tcPr>
          <w:p>
            <w:r>
              <w:rPr>
                <w:rFonts w:ascii="Calibri" w:hAnsi="Calibri"/>
                <w:sz w:val="22"/>
              </w:rPr>
              <w:t>+4.4%</w:t>
            </w:r>
          </w:p>
        </w:tc>
        <w:tc>
          <w:tcPr>
            <w:tcW w:type="dxa" w:w="1728"/>
          </w:tcPr>
          <w:p>
            <w:r>
              <w:rPr>
                <w:rFonts w:ascii="Calibri" w:hAnsi="Calibri"/>
                <w:sz w:val="22"/>
              </w:rPr>
              <w:t>✅ Beat</w:t>
            </w:r>
          </w:p>
        </w:tc>
      </w:tr>
      <w:tr>
        <w:tc>
          <w:tcPr>
            <w:tcW w:type="dxa" w:w="1728"/>
          </w:tcPr>
          <w:p>
            <w:r>
              <w:rPr>
                <w:rFonts w:ascii="Calibri" w:hAnsi="Calibri"/>
                <w:sz w:val="22"/>
              </w:rPr>
              <w:t>Q1 FY2025 (Dec 2024)</w:t>
            </w:r>
          </w:p>
        </w:tc>
        <w:tc>
          <w:tcPr>
            <w:tcW w:type="dxa" w:w="1728"/>
          </w:tcPr>
          <w:p>
            <w:r>
              <w:rPr>
                <w:rFonts w:ascii="Calibri" w:hAnsi="Calibri"/>
                <w:sz w:val="22"/>
              </w:rPr>
              <w:t>$1.38</w:t>
            </w:r>
          </w:p>
        </w:tc>
        <w:tc>
          <w:tcPr>
            <w:tcW w:type="dxa" w:w="1728"/>
          </w:tcPr>
          <w:p>
            <w:r>
              <w:rPr>
                <w:rFonts w:ascii="Calibri" w:hAnsi="Calibri"/>
                <w:sz w:val="22"/>
              </w:rPr>
              <w:t>$1.275</w:t>
            </w:r>
          </w:p>
        </w:tc>
        <w:tc>
          <w:tcPr>
            <w:tcW w:type="dxa" w:w="1728"/>
          </w:tcPr>
          <w:p>
            <w:r>
              <w:rPr>
                <w:rFonts w:ascii="Calibri" w:hAnsi="Calibri"/>
                <w:sz w:val="22"/>
              </w:rPr>
              <w:t>+8.2%</w:t>
            </w:r>
          </w:p>
        </w:tc>
        <w:tc>
          <w:tcPr>
            <w:tcW w:type="dxa" w:w="1728"/>
          </w:tcPr>
          <w:p>
            <w:r>
              <w:rPr>
                <w:rFonts w:ascii="Calibri" w:hAnsi="Calibri"/>
                <w:sz w:val="22"/>
              </w:rPr>
              <w:t>✅ Beat</w:t>
            </w:r>
          </w:p>
        </w:tc>
      </w:tr>
      <w:tr>
        <w:tc>
          <w:tcPr>
            <w:tcW w:type="dxa" w:w="1728"/>
          </w:tcPr>
          <w:p>
            <w:r>
              <w:rPr>
                <w:rFonts w:ascii="Calibri" w:hAnsi="Calibri"/>
                <w:sz w:val="22"/>
              </w:rPr>
              <w:t>Q4 FY2024 (Sep 2024)</w:t>
            </w:r>
          </w:p>
        </w:tc>
        <w:tc>
          <w:tcPr>
            <w:tcW w:type="dxa" w:w="1728"/>
          </w:tcPr>
          <w:p>
            <w:r>
              <w:rPr>
                <w:rFonts w:ascii="Calibri" w:hAnsi="Calibri"/>
                <w:sz w:val="22"/>
              </w:rPr>
              <w:t>$1.48</w:t>
            </w:r>
          </w:p>
        </w:tc>
        <w:tc>
          <w:tcPr>
            <w:tcW w:type="dxa" w:w="1728"/>
          </w:tcPr>
          <w:p>
            <w:r>
              <w:rPr>
                <w:rFonts w:ascii="Calibri" w:hAnsi="Calibri"/>
                <w:sz w:val="22"/>
              </w:rPr>
              <w:t>$1.465</w:t>
            </w:r>
          </w:p>
        </w:tc>
        <w:tc>
          <w:tcPr>
            <w:tcW w:type="dxa" w:w="1728"/>
          </w:tcPr>
          <w:p>
            <w:r>
              <w:rPr>
                <w:rFonts w:ascii="Calibri" w:hAnsi="Calibri"/>
                <w:sz w:val="22"/>
              </w:rPr>
              <w:t>+1.0%</w:t>
            </w:r>
          </w:p>
        </w:tc>
        <w:tc>
          <w:tcPr>
            <w:tcW w:type="dxa" w:w="1728"/>
          </w:tcPr>
          <w:p>
            <w:r>
              <w:rPr>
                <w:rFonts w:ascii="Calibri" w:hAnsi="Calibri"/>
                <w:sz w:val="22"/>
              </w:rPr>
              <w:t>✅ Beat</w:t>
            </w:r>
          </w:p>
        </w:tc>
      </w:tr>
      <w:tr>
        <w:tc>
          <w:tcPr>
            <w:tcW w:type="dxa" w:w="1728"/>
          </w:tcPr>
          <w:p>
            <w:r>
              <w:rPr>
                <w:rFonts w:ascii="Calibri" w:hAnsi="Calibri"/>
                <w:sz w:val="22"/>
              </w:rPr>
              <w:t>Q3 FY2024 (Jun 2024)</w:t>
            </w:r>
          </w:p>
        </w:tc>
        <w:tc>
          <w:tcPr>
            <w:tcW w:type="dxa" w:w="1728"/>
          </w:tcPr>
          <w:p>
            <w:r>
              <w:rPr>
                <w:rFonts w:ascii="Calibri" w:hAnsi="Calibri"/>
                <w:sz w:val="22"/>
              </w:rPr>
              <w:t>N/A — pre-transformation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$4.562B</w:t>
            </w:r>
          </w:p>
        </w:tc>
        <w:tc>
          <w:tcPr>
            <w:tcW w:type="dxa" w:w="1728"/>
          </w:tcPr>
          <w:p>
            <w:r>
              <w:rPr>
                <w:rFonts w:ascii="Calibri" w:hAnsi="Calibri"/>
                <w:sz w:val="22"/>
              </w:rPr>
              <w:t>$4.592B</w:t>
            </w:r>
          </w:p>
        </w:tc>
        <w:tc>
          <w:tcPr>
            <w:tcW w:type="dxa" w:w="1728"/>
          </w:tcPr>
          <w:p>
            <w:r>
              <w:rPr>
                <w:rFonts w:ascii="Calibri" w:hAnsi="Calibri"/>
                <w:sz w:val="22"/>
              </w:rPr>
              <w:t>−0.7%</w:t>
            </w:r>
          </w:p>
        </w:tc>
        <w:tc>
          <w:tcPr>
            <w:tcW w:type="dxa" w:w="1728"/>
          </w:tcPr>
          <w:p>
            <w:r>
              <w:rPr>
                <w:rFonts w:ascii="Calibri" w:hAnsi="Calibri"/>
                <w:sz w:val="22"/>
              </w:rPr>
              <w:t>❌ Miss</w:t>
            </w:r>
          </w:p>
        </w:tc>
      </w:tr>
      <w:tr>
        <w:tc>
          <w:tcPr>
            <w:tcW w:type="dxa" w:w="1728"/>
          </w:tcPr>
          <w:p>
            <w:r>
              <w:rPr>
                <w:rFonts w:ascii="Calibri" w:hAnsi="Calibri"/>
                <w:sz w:val="22"/>
              </w:rPr>
              <w:t>Q1 FY2026 (Dec 2025)</w:t>
            </w:r>
          </w:p>
        </w:tc>
        <w:tc>
          <w:tcPr>
            <w:tcW w:type="dxa" w:w="1728"/>
          </w:tcPr>
          <w:p>
            <w:r>
              <w:rPr>
                <w:rFonts w:ascii="Calibri" w:hAnsi="Calibri"/>
                <w:sz w:val="22"/>
              </w:rPr>
              <w:t>$4.346B</w:t>
            </w:r>
          </w:p>
        </w:tc>
        <w:tc>
          <w:tcPr>
            <w:tcW w:type="dxa" w:w="1728"/>
          </w:tcPr>
          <w:p>
            <w:r>
              <w:rPr>
                <w:rFonts w:ascii="Calibri" w:hAnsi="Calibri"/>
                <w:sz w:val="22"/>
              </w:rPr>
              <w:t>$4.340B</w:t>
            </w:r>
          </w:p>
        </w:tc>
        <w:tc>
          <w:tcPr>
            <w:tcW w:type="dxa" w:w="1728"/>
          </w:tcPr>
          <w:p>
            <w:r>
              <w:rPr>
                <w:rFonts w:ascii="Calibri" w:hAnsi="Calibri"/>
                <w:sz w:val="22"/>
              </w:rPr>
              <w:t>+0.1%</w:t>
            </w:r>
          </w:p>
        </w:tc>
        <w:tc>
          <w:tcPr>
            <w:tcW w:type="dxa" w:w="1728"/>
          </w:tcPr>
          <w:p>
            <w:r>
              <w:rPr>
                <w:rFonts w:ascii="Calibri" w:hAnsi="Calibri"/>
                <w:sz w:val="22"/>
              </w:rPr>
              <w:t>✅ Beat</w:t>
            </w:r>
          </w:p>
        </w:tc>
      </w:tr>
      <w:tr>
        <w:tc>
          <w:tcPr>
            <w:tcW w:type="dxa" w:w="1728"/>
          </w:tcPr>
          <w:p>
            <w:r>
              <w:rPr>
                <w:rFonts w:ascii="Calibri" w:hAnsi="Calibri"/>
                <w:sz w:val="22"/>
              </w:rPr>
              <w:t>Q4 FY2025 (Sep 2025)</w:t>
            </w:r>
          </w:p>
        </w:tc>
        <w:tc>
          <w:tcPr>
            <w:tcW w:type="dxa" w:w="1728"/>
          </w:tcPr>
          <w:p>
            <w:r>
              <w:rPr>
                <w:rFonts w:ascii="Calibri" w:hAnsi="Calibri"/>
                <w:sz w:val="22"/>
              </w:rPr>
              <w:t>$4.855B</w:t>
            </w:r>
          </w:p>
        </w:tc>
        <w:tc>
          <w:tcPr>
            <w:tcW w:type="dxa" w:w="1728"/>
          </w:tcPr>
          <w:p>
            <w:r>
              <w:rPr>
                <w:rFonts w:ascii="Calibri" w:hAnsi="Calibri"/>
                <w:sz w:val="22"/>
              </w:rPr>
              <w:t>$4.894B</w:t>
            </w:r>
          </w:p>
        </w:tc>
        <w:tc>
          <w:tcPr>
            <w:tcW w:type="dxa" w:w="1728"/>
          </w:tcPr>
          <w:p>
            <w:r>
              <w:rPr>
                <w:rFonts w:ascii="Calibri" w:hAnsi="Calibri"/>
                <w:sz w:val="22"/>
              </w:rPr>
              <w:t>−0.8%</w:t>
            </w:r>
          </w:p>
        </w:tc>
        <w:tc>
          <w:tcPr>
            <w:tcW w:type="dxa" w:w="1728"/>
          </w:tcPr>
          <w:p>
            <w:r>
              <w:rPr>
                <w:rFonts w:ascii="Calibri" w:hAnsi="Calibri"/>
                <w:sz w:val="22"/>
              </w:rPr>
              <w:t>❌ Miss</w:t>
            </w:r>
          </w:p>
        </w:tc>
      </w:tr>
      <w:tr>
        <w:tc>
          <w:tcPr>
            <w:tcW w:type="dxa" w:w="1728"/>
          </w:tcPr>
          <w:p>
            <w:r>
              <w:rPr>
                <w:rFonts w:ascii="Calibri" w:hAnsi="Calibri"/>
                <w:sz w:val="22"/>
              </w:rPr>
              <w:t>Q3 FY2025 (Jun 2025)</w:t>
            </w:r>
          </w:p>
        </w:tc>
        <w:tc>
          <w:tcPr>
            <w:tcW w:type="dxa" w:w="1728"/>
          </w:tcPr>
          <w:p>
            <w:r>
              <w:rPr>
                <w:rFonts w:ascii="Calibri" w:hAnsi="Calibri"/>
                <w:sz w:val="22"/>
              </w:rPr>
              <w:t>$4.553B</w:t>
            </w:r>
          </w:p>
        </w:tc>
        <w:tc>
          <w:tcPr>
            <w:tcW w:type="dxa" w:w="1728"/>
          </w:tcPr>
          <w:p>
            <w:r>
              <w:rPr>
                <w:rFonts w:ascii="Calibri" w:hAnsi="Calibri"/>
                <w:sz w:val="22"/>
              </w:rPr>
              <w:t>$4.589B</w:t>
            </w:r>
          </w:p>
        </w:tc>
        <w:tc>
          <w:tcPr>
            <w:tcW w:type="dxa" w:w="1728"/>
          </w:tcPr>
          <w:p>
            <w:r>
              <w:rPr>
                <w:rFonts w:ascii="Calibri" w:hAnsi="Calibri"/>
                <w:sz w:val="22"/>
              </w:rPr>
              <w:t>−0.8%</w:t>
            </w:r>
          </w:p>
        </w:tc>
        <w:tc>
          <w:tcPr>
            <w:tcW w:type="dxa" w:w="1728"/>
          </w:tcPr>
          <w:p>
            <w:r>
              <w:rPr>
                <w:rFonts w:ascii="Calibri" w:hAnsi="Calibri"/>
                <w:sz w:val="22"/>
              </w:rPr>
              <w:t>❌ Miss</w:t>
            </w:r>
          </w:p>
        </w:tc>
      </w:tr>
      <w:tr>
        <w:tc>
          <w:tcPr>
            <w:tcW w:type="dxa" w:w="1728"/>
          </w:tcPr>
          <w:p>
            <w:r>
              <w:rPr>
                <w:rFonts w:ascii="Calibri" w:hAnsi="Calibri"/>
                <w:sz w:val="22"/>
              </w:rPr>
              <w:t>Q2 FY2025 (Mar 2025)</w:t>
            </w:r>
          </w:p>
        </w:tc>
        <w:tc>
          <w:tcPr>
            <w:tcW w:type="dxa" w:w="1728"/>
          </w:tcPr>
          <w:p>
            <w:r>
              <w:rPr>
                <w:rFonts w:ascii="Calibri" w:hAnsi="Calibri"/>
                <w:sz w:val="22"/>
              </w:rPr>
              <w:t>$4.432B</w:t>
            </w:r>
          </w:p>
        </w:tc>
        <w:tc>
          <w:tcPr>
            <w:tcW w:type="dxa" w:w="1728"/>
          </w:tcPr>
          <w:p>
            <w:r>
              <w:rPr>
                <w:rFonts w:ascii="Calibri" w:hAnsi="Calibri"/>
                <w:sz w:val="22"/>
              </w:rPr>
              <w:t>$4.391B</w:t>
            </w:r>
          </w:p>
        </w:tc>
        <w:tc>
          <w:tcPr>
            <w:tcW w:type="dxa" w:w="1728"/>
          </w:tcPr>
          <w:p>
            <w:r>
              <w:rPr>
                <w:rFonts w:ascii="Calibri" w:hAnsi="Calibri"/>
                <w:sz w:val="22"/>
              </w:rPr>
              <w:t>+0.9%</w:t>
            </w:r>
          </w:p>
        </w:tc>
        <w:tc>
          <w:tcPr>
            <w:tcW w:type="dxa" w:w="1728"/>
          </w:tcPr>
          <w:p>
            <w:r>
              <w:rPr>
                <w:rFonts w:ascii="Calibri" w:hAnsi="Calibri"/>
                <w:sz w:val="22"/>
              </w:rPr>
              <w:t>✅ Beat</w:t>
            </w:r>
          </w:p>
        </w:tc>
      </w:tr>
      <w:tr>
        <w:tc>
          <w:tcPr>
            <w:tcW w:type="dxa" w:w="1728"/>
          </w:tcPr>
          <w:p>
            <w:r>
              <w:rPr>
                <w:rFonts w:ascii="Calibri" w:hAnsi="Calibri"/>
                <w:sz w:val="22"/>
              </w:rPr>
              <w:t>Q1 FY2025 (Dec 2024)</w:t>
            </w:r>
          </w:p>
        </w:tc>
        <w:tc>
          <w:tcPr>
            <w:tcW w:type="dxa" w:w="1728"/>
          </w:tcPr>
          <w:p>
            <w:r>
              <w:rPr>
                <w:rFonts w:ascii="Calibri" w:hAnsi="Calibri"/>
                <w:sz w:val="22"/>
              </w:rPr>
              <w:t>$4.175B</w:t>
            </w:r>
          </w:p>
        </w:tc>
        <w:tc>
          <w:tcPr>
            <w:tcW w:type="dxa" w:w="1728"/>
          </w:tcPr>
          <w:p>
            <w:r>
              <w:rPr>
                <w:rFonts w:ascii="Calibri" w:hAnsi="Calibri"/>
                <w:sz w:val="22"/>
              </w:rPr>
              <w:t>$4.222B</w:t>
            </w:r>
          </w:p>
        </w:tc>
        <w:tc>
          <w:tcPr>
            <w:tcW w:type="dxa" w:w="1728"/>
          </w:tcPr>
          <w:p>
            <w:r>
              <w:rPr>
                <w:rFonts w:ascii="Calibri" w:hAnsi="Calibri"/>
                <w:sz w:val="22"/>
              </w:rPr>
              <w:t>−1.1%</w:t>
            </w:r>
          </w:p>
        </w:tc>
        <w:tc>
          <w:tcPr>
            <w:tcW w:type="dxa" w:w="1728"/>
          </w:tcPr>
          <w:p>
            <w:r>
              <w:rPr>
                <w:rFonts w:ascii="Calibri" w:hAnsi="Calibri"/>
                <w:sz w:val="22"/>
              </w:rPr>
              <w:t>❌ Miss</w:t>
            </w:r>
          </w:p>
        </w:tc>
      </w:tr>
      <w:tr>
        <w:tc>
          <w:tcPr>
            <w:tcW w:type="dxa" w:w="1728"/>
          </w:tcPr>
          <w:p>
            <w:r>
              <w:rPr>
                <w:rFonts w:ascii="Calibri" w:hAnsi="Calibri"/>
                <w:sz w:val="22"/>
              </w:rPr>
              <w:t>Q4 FY2024 (Sep 2024)</w:t>
            </w:r>
          </w:p>
        </w:tc>
        <w:tc>
          <w:tcPr>
            <w:tcW w:type="dxa" w:w="1728"/>
          </w:tcPr>
          <w:p>
            <w:r>
              <w:rPr>
                <w:rFonts w:ascii="Calibri" w:hAnsi="Calibri"/>
                <w:sz w:val="22"/>
              </w:rPr>
              <w:t>$4.619B</w:t>
            </w:r>
          </w:p>
        </w:tc>
        <w:tc>
          <w:tcPr>
            <w:tcW w:type="dxa" w:w="1728"/>
          </w:tcPr>
          <w:p>
            <w:r>
              <w:rPr>
                <w:rFonts w:ascii="Calibri" w:hAnsi="Calibri"/>
                <w:sz w:val="22"/>
              </w:rPr>
              <w:t>$4.574B</w:t>
            </w:r>
          </w:p>
        </w:tc>
        <w:tc>
          <w:tcPr>
            <w:tcW w:type="dxa" w:w="1728"/>
          </w:tcPr>
          <w:p>
            <w:r>
              <w:rPr>
                <w:rFonts w:ascii="Calibri" w:hAnsi="Calibri"/>
                <w:sz w:val="22"/>
              </w:rPr>
              <w:t>+1.0%</w:t>
            </w:r>
          </w:p>
        </w:tc>
        <w:tc>
          <w:tcPr>
            <w:tcW w:type="dxa" w:w="1728"/>
          </w:tcPr>
          <w:p>
            <w:r>
              <w:rPr>
                <w:rFonts w:ascii="Calibri" w:hAnsi="Calibri"/>
                <w:sz w:val="22"/>
              </w:rPr>
              <w:t>✅ Beat</w:t>
            </w:r>
          </w:p>
        </w:tc>
      </w:tr>
      <w:tr>
        <w:tc>
          <w:tcPr>
            <w:tcW w:type="dxa" w:w="1728"/>
          </w:tcPr>
          <w:p>
            <w:r>
              <w:rPr>
                <w:rFonts w:ascii="Calibri" w:hAnsi="Calibri"/>
                <w:sz w:val="22"/>
              </w:rPr>
              <w:t>Q3 FY2024 (Jun 2024)</w:t>
            </w:r>
          </w:p>
        </w:tc>
        <w:tc>
          <w:tcPr>
            <w:tcW w:type="dxa" w:w="1728"/>
          </w:tcPr>
          <w:p>
            <w:r>
              <w:rPr>
                <w:rFonts w:ascii="Calibri" w:hAnsi="Calibri"/>
                <w:sz w:val="22"/>
              </w:rPr>
              <w:t>N/A — pre-transformation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EMR has beaten adjusted EPS consensus in 6 of the last 7 reported quarters, typically by 1–4%, reflecting management's conservative guidance cadence. Revenue is a more mixed story — 4 misses in 7 quarters — driven by geographic headwinds (Middle East, China) and software renewal timing, suggesting the market has learned to look through top-line softness and focus on margin and EPS delivery.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stable-to-constructive</w:t>
      </w:r>
      <w:r>
        <w:rPr>
          <w:rFonts w:ascii="Calibri" w:hAnsi="Calibri"/>
          <w:color w:val="525866"/>
          <w:sz w:val="22"/>
        </w:rPr>
        <w:t xml:space="preserve"> since the May 5 Q2 print — management raised the EPS floor and midpoint, reaffirmed ~28% adj. segment EBITDA margin, and maintained the $3.5B–$3.6B FCF range. No post-earnings guidance revision events have occurred; the tone has shifted from defensive (Middle East absorption) to confident (second-half ramp, orders momentum, T&amp;M outperformance).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Net Sales Growth</w:t>
            </w:r>
          </w:p>
        </w:tc>
        <w:tc>
          <w:tcPr>
            <w:tcW w:type="dxa" w:w="1728"/>
          </w:tcPr>
          <w:p>
            <w:r>
              <w:rPr>
                <w:rFonts w:ascii="Calibri" w:hAnsi="Calibri"/>
                <w:sz w:val="22"/>
              </w:rPr>
              <w:t>~5.5% reported; ~5% underlying</w:t>
            </w:r>
          </w:p>
        </w:tc>
        <w:tc>
          <w:tcPr>
            <w:tcW w:type="dxa" w:w="1728"/>
          </w:tcPr>
          <w:p>
            <w:r>
              <w:rPr>
                <w:rFonts w:ascii="Calibri" w:hAnsi="Calibri"/>
                <w:sz w:val="22"/>
              </w:rPr>
              <w:t>—</w:t>
            </w:r>
          </w:p>
        </w:tc>
        <w:tc>
          <w:tcPr>
            <w:tcW w:type="dxa" w:w="1728"/>
          </w:tcPr>
          <w:p>
            <w:r>
              <w:rPr>
                <w:rFonts w:ascii="Calibri" w:hAnsi="Calibri"/>
                <w:sz w:val="22"/>
              </w:rPr>
              <w:t>~5.4% YoY ($4.801B)</w:t>
            </w:r>
          </w:p>
        </w:tc>
        <w:tc>
          <w:tcPr>
            <w:tcW w:type="dxa" w:w="1728"/>
          </w:tcPr>
          <w:p>
            <w:r>
              <w:rPr>
                <w:rFonts w:ascii="Calibri" w:hAnsi="Calibri"/>
                <w:sz w:val="22"/>
              </w:rPr>
              <w:t>No post-earnings revision; consensus in line with guidance midpoint</w:t>
            </w:r>
          </w:p>
        </w:tc>
      </w:tr>
      <w:tr>
        <w:tc>
          <w:tcPr>
            <w:tcW w:type="dxa" w:w="1728"/>
          </w:tcPr>
          <w:p>
            <w:r>
              <w:rPr>
                <w:rFonts w:ascii="Calibri" w:hAnsi="Calibri"/>
                <w:sz w:val="22"/>
              </w:rPr>
              <w:t>Q3 FY2026 Adj. EPS</w:t>
            </w:r>
          </w:p>
        </w:tc>
        <w:tc>
          <w:tcPr>
            <w:tcW w:type="dxa" w:w="1728"/>
          </w:tcPr>
          <w:p>
            <w:r>
              <w:rPr>
                <w:rFonts w:ascii="Calibri" w:hAnsi="Calibri"/>
                <w:sz w:val="22"/>
              </w:rPr>
              <w:t>$1.65–$1.70</w:t>
            </w:r>
          </w:p>
        </w:tc>
        <w:tc>
          <w:tcPr>
            <w:tcW w:type="dxa" w:w="1728"/>
          </w:tcPr>
          <w:p>
            <w:r>
              <w:rPr>
                <w:rFonts w:ascii="Calibri" w:hAnsi="Calibri"/>
                <w:sz w:val="22"/>
              </w:rPr>
              <w:t>—</w:t>
            </w:r>
          </w:p>
        </w:tc>
        <w:tc>
          <w:tcPr>
            <w:tcW w:type="dxa" w:w="1728"/>
          </w:tcPr>
          <w:p>
            <w:r>
              <w:rPr>
                <w:rFonts w:ascii="Calibri" w:hAnsi="Calibri"/>
                <w:sz w:val="22"/>
              </w:rPr>
              <w:t>$1.68</w:t>
            </w:r>
          </w:p>
        </w:tc>
        <w:tc>
          <w:tcPr>
            <w:tcW w:type="dxa" w:w="1728"/>
          </w:tcPr>
          <w:p>
            <w:r>
              <w:rPr>
                <w:rFonts w:ascii="Calibri" w:hAnsi="Calibri"/>
                <w:sz w:val="22"/>
              </w:rPr>
              <w:t>No revision; consensus at midpoint of guided range</w:t>
            </w:r>
          </w:p>
        </w:tc>
      </w:tr>
      <w:tr>
        <w:tc>
          <w:tcPr>
            <w:tcW w:type="dxa" w:w="1728"/>
          </w:tcPr>
          <w:p>
            <w:r>
              <w:rPr>
                <w:rFonts w:ascii="Calibri" w:hAnsi="Calibri"/>
                <w:sz w:val="22"/>
              </w:rPr>
              <w:t>Q3 FY2026 Adj. Segment EBITDA Margin</w:t>
            </w:r>
          </w:p>
        </w:tc>
        <w:tc>
          <w:tcPr>
            <w:tcW w:type="dxa" w:w="1728"/>
          </w:tcPr>
          <w:p>
            <w:r>
              <w:rPr>
                <w:rFonts w:ascii="Calibri" w:hAnsi="Calibri"/>
                <w:sz w:val="22"/>
              </w:rPr>
              <w:t>~28%</w:t>
            </w:r>
          </w:p>
        </w:tc>
        <w:tc>
          <w:tcPr>
            <w:tcW w:type="dxa" w:w="1728"/>
          </w:tcPr>
          <w:p>
            <w:r>
              <w:rPr>
                <w:rFonts w:ascii="Calibri" w:hAnsi="Calibri"/>
                <w:sz w:val="22"/>
              </w:rPr>
              <w:t>—</w:t>
            </w:r>
          </w:p>
        </w:tc>
        <w:tc>
          <w:tcPr>
            <w:tcW w:type="dxa" w:w="1728"/>
          </w:tcPr>
          <w:p>
            <w:r>
              <w:rPr>
                <w:rFonts w:ascii="Calibri" w:hAnsi="Calibri"/>
                <w:sz w:val="22"/>
              </w:rPr>
              <w:t>~26.6% (VA consensus)</w:t>
            </w:r>
          </w:p>
        </w:tc>
        <w:tc>
          <w:tcPr>
            <w:tcW w:type="dxa" w:w="1728"/>
          </w:tcPr>
          <w:p>
            <w:r>
              <w:rPr>
                <w:rFonts w:ascii="Calibri" w:hAnsi="Calibri"/>
                <w:sz w:val="22"/>
              </w:rPr>
              <w:t>Consensus below guidance; gap may reflect definitional difference (EBITA vs. EBITDA) or Street conservatism</w:t>
            </w:r>
          </w:p>
        </w:tc>
      </w:tr>
      <w:tr>
        <w:tc>
          <w:tcPr>
            <w:tcW w:type="dxa" w:w="1728"/>
          </w:tcPr>
          <w:p>
            <w:r>
              <w:rPr>
                <w:rFonts w:ascii="Calibri" w:hAnsi="Calibri"/>
                <w:sz w:val="22"/>
              </w:rPr>
              <w:t>FY2026 Adj. EPS</w:t>
            </w:r>
          </w:p>
        </w:tc>
        <w:tc>
          <w:tcPr>
            <w:tcW w:type="dxa" w:w="1728"/>
          </w:tcPr>
          <w:p>
            <w:r>
              <w:rPr>
                <w:rFonts w:ascii="Calibri" w:hAnsi="Calibri"/>
                <w:sz w:val="22"/>
              </w:rPr>
              <w:t>$6.45–$6.55 (raised from $6.40–$6.55 at Q1)</w:t>
            </w:r>
          </w:p>
        </w:tc>
        <w:tc>
          <w:tcPr>
            <w:tcW w:type="dxa" w:w="1728"/>
          </w:tcPr>
          <w:p>
            <w:r>
              <w:rPr>
                <w:rFonts w:ascii="Calibri" w:hAnsi="Calibri"/>
                <w:sz w:val="22"/>
              </w:rPr>
              <w:t>—</w:t>
            </w:r>
          </w:p>
        </w:tc>
        <w:tc>
          <w:tcPr>
            <w:tcW w:type="dxa" w:w="1728"/>
          </w:tcPr>
          <w:p>
            <w:r>
              <w:rPr>
                <w:rFonts w:ascii="Calibri" w:hAnsi="Calibri"/>
                <w:sz w:val="22"/>
              </w:rPr>
              <w:t>$6.50</w:t>
            </w:r>
          </w:p>
        </w:tc>
        <w:tc>
          <w:tcPr>
            <w:tcW w:type="dxa" w:w="1728"/>
          </w:tcPr>
          <w:p>
            <w:r>
              <w:rPr>
                <w:rFonts w:ascii="Calibri" w:hAnsi="Calibri"/>
                <w:sz w:val="22"/>
              </w:rPr>
              <w:t>↑ Raised bottom/midpoint at Q2 earnings; consensus at midpoint; tone confident</w:t>
            </w:r>
          </w:p>
        </w:tc>
      </w:tr>
      <w:tr>
        <w:tc>
          <w:tcPr>
            <w:tcW w:type="dxa" w:w="1728"/>
          </w:tcPr>
          <w:p>
            <w:r>
              <w:rPr>
                <w:rFonts w:ascii="Calibri" w:hAnsi="Calibri"/>
                <w:sz w:val="22"/>
              </w:rPr>
              <w:t>FY2026 Underlying Sales Growth</w:t>
            </w:r>
          </w:p>
        </w:tc>
        <w:tc>
          <w:tcPr>
            <w:tcW w:type="dxa" w:w="1728"/>
          </w:tcPr>
          <w:p>
            <w:r>
              <w:rPr>
                <w:rFonts w:ascii="Calibri" w:hAnsi="Calibri"/>
                <w:sz w:val="22"/>
              </w:rPr>
              <w:t>~3% (lowered from ~4% at Q1 due to Middle East)</w:t>
            </w:r>
          </w:p>
        </w:tc>
        <w:tc>
          <w:tcPr>
            <w:tcW w:type="dxa" w:w="1728"/>
          </w:tcPr>
          <w:p>
            <w:r>
              <w:rPr>
                <w:rFonts w:ascii="Calibri" w:hAnsi="Calibri"/>
                <w:sz w:val="22"/>
              </w:rPr>
              <w:t>—</w:t>
            </w:r>
          </w:p>
        </w:tc>
        <w:tc>
          <w:tcPr>
            <w:tcW w:type="dxa" w:w="1728"/>
          </w:tcPr>
          <w:p>
            <w:r>
              <w:rPr>
                <w:rFonts w:ascii="Calibri" w:hAnsi="Calibri"/>
                <w:sz w:val="22"/>
              </w:rPr>
              <w:t>~3.0%</w:t>
            </w:r>
          </w:p>
        </w:tc>
        <w:tc>
          <w:tcPr>
            <w:tcW w:type="dxa" w:w="1728"/>
          </w:tcPr>
          <w:p>
            <w:r>
              <w:rPr>
                <w:rFonts w:ascii="Calibri" w:hAnsi="Calibri"/>
                <w:sz w:val="22"/>
              </w:rPr>
              <w:t>↓ Lowered at Q2 to absorb 1-pt Middle East drag; consensus aligned</w:t>
            </w:r>
          </w:p>
        </w:tc>
      </w:tr>
      <w:tr>
        <w:tc>
          <w:tcPr>
            <w:tcW w:type="dxa" w:w="1728"/>
          </w:tcPr>
          <w:p>
            <w:r>
              <w:rPr>
                <w:rFonts w:ascii="Calibri" w:hAnsi="Calibri"/>
                <w:sz w:val="22"/>
              </w:rPr>
              <w:t>FY2026 Free Cash Flow</w:t>
            </w:r>
          </w:p>
        </w:tc>
        <w:tc>
          <w:tcPr>
            <w:tcW w:type="dxa" w:w="1728"/>
          </w:tcPr>
          <w:p>
            <w:r>
              <w:rPr>
                <w:rFonts w:ascii="Calibri" w:hAnsi="Calibri"/>
                <w:sz w:val="22"/>
              </w:rPr>
              <w:t>$3.5B–$3.6B</w:t>
            </w:r>
          </w:p>
        </w:tc>
        <w:tc>
          <w:tcPr>
            <w:tcW w:type="dxa" w:w="1728"/>
          </w:tcPr>
          <w:p>
            <w:r>
              <w:rPr>
                <w:rFonts w:ascii="Calibri" w:hAnsi="Calibri"/>
                <w:sz w:val="22"/>
              </w:rPr>
              <w:t>—</w:t>
            </w:r>
          </w:p>
        </w:tc>
        <w:tc>
          <w:tcPr>
            <w:tcW w:type="dxa" w:w="1728"/>
          </w:tcPr>
          <w:p>
            <w:r>
              <w:rPr>
                <w:rFonts w:ascii="Calibri" w:hAnsi="Calibri"/>
                <w:sz w:val="22"/>
              </w:rPr>
              <w:t>$3.50B</w:t>
            </w:r>
          </w:p>
        </w:tc>
        <w:tc>
          <w:tcPr>
            <w:tcW w:type="dxa" w:w="1728"/>
          </w:tcPr>
          <w:p>
            <w:r>
              <w:rPr>
                <w:rFonts w:ascii="Calibri" w:hAnsi="Calibri"/>
                <w:sz w:val="22"/>
              </w:rPr>
              <w:t>Reaffirmed; ~10% FCF growth at &gt;18% margin; consensus at low end of range</w:t>
            </w:r>
          </w:p>
        </w:tc>
      </w:tr>
      <w:tr>
        <w:tc>
          <w:tcPr>
            <w:tcW w:type="dxa" w:w="1728"/>
          </w:tcPr>
          <w:p>
            <w:r>
              <w:rPr>
                <w:rFonts w:ascii="Calibri" w:hAnsi="Calibri"/>
                <w:sz w:val="22"/>
              </w:rPr>
              <w:t>FY2026 Adj. Segment EBITDA Margin</w:t>
            </w:r>
          </w:p>
        </w:tc>
        <w:tc>
          <w:tcPr>
            <w:tcW w:type="dxa" w:w="1728"/>
          </w:tcPr>
          <w:p>
            <w:r>
              <w:rPr>
                <w:rFonts w:ascii="Calibri" w:hAnsi="Calibri"/>
                <w:sz w:val="22"/>
              </w:rPr>
              <w:t>~28%</w:t>
            </w:r>
          </w:p>
        </w:tc>
        <w:tc>
          <w:tcPr>
            <w:tcW w:type="dxa" w:w="1728"/>
          </w:tcPr>
          <w:p>
            <w:r>
              <w:rPr>
                <w:rFonts w:ascii="Calibri" w:hAnsi="Calibri"/>
                <w:sz w:val="22"/>
              </w:rPr>
              <w:t>—</w:t>
            </w:r>
          </w:p>
        </w:tc>
        <w:tc>
          <w:tcPr>
            <w:tcW w:type="dxa" w:w="1728"/>
          </w:tcPr>
          <w:p>
            <w:r>
              <w:rPr>
                <w:rFonts w:ascii="Calibri" w:hAnsi="Calibri"/>
                <w:sz w:val="22"/>
              </w:rPr>
              <w:t>~26.5%</w:t>
            </w:r>
          </w:p>
        </w:tc>
        <w:tc>
          <w:tcPr>
            <w:tcW w:type="dxa" w:w="1728"/>
          </w:tcPr>
          <w:p>
            <w:r>
              <w:rPr>
                <w:rFonts w:ascii="Calibri" w:hAnsi="Calibri"/>
                <w:sz w:val="22"/>
              </w:rPr>
              <w:t>Reaffirmed; same definitional gap as Q3; management tone confident on margin trajectory</w:t>
            </w:r>
          </w:p>
        </w:tc>
      </w:tr>
      <w:tr>
        <w:tc>
          <w:tcPr>
            <w:tcW w:type="dxa" w:w="1728"/>
          </w:tcPr>
          <w:p>
            <w:r>
              <w:rPr>
                <w:rFonts w:ascii="Calibri" w:hAnsi="Calibri"/>
                <w:sz w:val="22"/>
              </w:rPr>
              <w:t>Software ACV Growth (FY2026)</w:t>
            </w:r>
          </w:p>
        </w:tc>
        <w:tc>
          <w:tcPr>
            <w:tcW w:type="dxa" w:w="1728"/>
          </w:tcPr>
          <w:p>
            <w:r>
              <w:rPr>
                <w:rFonts w:ascii="Calibri" w:hAnsi="Calibri"/>
                <w:sz w:val="22"/>
              </w:rPr>
              <w:t>10%+ growth; ended Q2 at $1.64B (+9% YoY)</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Reaffirmed; management increasingly assertive on ACV trajectory and AI as accelerator</w:t>
            </w:r>
          </w:p>
        </w:tc>
      </w:tr>
      <w:tr>
        <w:tc>
          <w:tcPr>
            <w:tcW w:type="dxa" w:w="1728"/>
          </w:tcPr>
          <w:p>
            <w:r>
              <w:rPr>
                <w:rFonts w:ascii="Calibri" w:hAnsi="Calibri"/>
                <w:sz w:val="22"/>
              </w:rPr>
              <w:t>T&amp;M Full-Year Growth</w:t>
            </w:r>
          </w:p>
        </w:tc>
        <w:tc>
          <w:tcPr>
            <w:tcW w:type="dxa" w:w="1728"/>
          </w:tcPr>
          <w:p>
            <w:r>
              <w:rPr>
                <w:rFonts w:ascii="Calibri" w:hAnsi="Calibri"/>
                <w:sz w:val="22"/>
              </w:rPr>
              <w:t>Low teens (raised from high single digits at Q1)</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 Raised at Q2; semis and aerospace/defense driving outperformance; automotive bottoming</w:t>
            </w:r>
          </w:p>
        </w:tc>
      </w:tr>
    </w:tbl>
    <w:p>
      <w:r>
        <w:rPr>
          <w:rFonts w:ascii="Calibri" w:hAnsi="Calibri"/>
          <w:i/>
          <w:color w:val="525866"/>
          <w:sz w:val="22"/>
        </w:rPr>
        <w:t>Source: EMR Q2 FY2026 Earnings Release and Transcript (May 5,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w:t>
      </w:r>
      <w:r>
        <w:rPr>
          <w:rFonts w:ascii="Calibri" w:hAnsi="Calibri"/>
          <w:color w:val="525866"/>
          <w:sz w:val="22"/>
        </w:rPr>
        <w:t xml:space="preserve"> since the Q2 print — Q3 EPS has moved less than 1 cent from the post-print baseline, and full-year EPS is essentially flat. The Street has fully absorbed the Middle East headwind and is not pricing in incremental risk, which means the bar is clean and any positive surprise on orders or margin would be additive.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12, 2026 — ~5 Days Post Q2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Q3 FY2026</w:t>
            </w:r>
          </w:p>
        </w:tc>
        <w:tc>
          <w:tcPr>
            <w:tcW w:type="dxa" w:w="1080"/>
          </w:tcPr>
          <w:p>
            <w:r>
              <w:rPr>
                <w:rFonts w:ascii="Calibri" w:hAnsi="Calibri"/>
                <w:sz w:val="22"/>
              </w:rPr>
              <w:t>$1.674</w:t>
            </w:r>
          </w:p>
        </w:tc>
        <w:tc>
          <w:tcPr>
            <w:tcW w:type="dxa" w:w="1080"/>
          </w:tcPr>
          <w:p>
            <w:r>
              <w:rPr>
                <w:rFonts w:ascii="Calibri" w:hAnsi="Calibri"/>
                <w:sz w:val="22"/>
              </w:rPr>
              <w:t>$1.677</w:t>
            </w:r>
          </w:p>
        </w:tc>
        <w:tc>
          <w:tcPr>
            <w:tcW w:type="dxa" w:w="1080"/>
          </w:tcPr>
          <w:p>
            <w:r>
              <w:rPr>
                <w:rFonts w:ascii="Calibri" w:hAnsi="Calibri"/>
                <w:sz w:val="22"/>
              </w:rPr>
              <w:t>+0.2%</w:t>
            </w:r>
          </w:p>
        </w:tc>
        <w:tc>
          <w:tcPr>
            <w:tcW w:type="dxa" w:w="1080"/>
          </w:tcPr>
          <w:p>
            <w:r>
              <w:rPr>
                <w:rFonts w:ascii="Calibri" w:hAnsi="Calibri"/>
                <w:sz w:val="22"/>
              </w:rPr>
              <w:t>$1.65–$1.70 (mid: $1.675)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w:t>
            </w:r>
          </w:p>
        </w:tc>
      </w:tr>
      <w:tr>
        <w:tc>
          <w:tcPr>
            <w:tcW w:type="dxa" w:w="1080"/>
          </w:tcPr>
          <w:p>
            <w:r>
              <w:rPr>
                <w:rFonts w:ascii="Calibri" w:hAnsi="Calibri"/>
                <w:sz w:val="22"/>
              </w:rPr>
              <w:t>Net Sales — Q3 FY2026</w:t>
            </w:r>
          </w:p>
        </w:tc>
        <w:tc>
          <w:tcPr>
            <w:tcW w:type="dxa" w:w="1080"/>
          </w:tcPr>
          <w:p>
            <w:r>
              <w:rPr>
                <w:rFonts w:ascii="Calibri" w:hAnsi="Calibri"/>
                <w:sz w:val="22"/>
              </w:rPr>
              <w:t>$4.804B</w:t>
            </w:r>
          </w:p>
        </w:tc>
        <w:tc>
          <w:tcPr>
            <w:tcW w:type="dxa" w:w="1080"/>
          </w:tcPr>
          <w:p>
            <w:r>
              <w:rPr>
                <w:rFonts w:ascii="Calibri" w:hAnsi="Calibri"/>
                <w:sz w:val="22"/>
              </w:rPr>
              <w:t>$4.801B</w:t>
            </w:r>
          </w:p>
        </w:tc>
        <w:tc>
          <w:tcPr>
            <w:tcW w:type="dxa" w:w="1080"/>
          </w:tcPr>
          <w:p>
            <w:r>
              <w:rPr>
                <w:rFonts w:ascii="Calibri" w:hAnsi="Calibri"/>
                <w:sz w:val="22"/>
              </w:rPr>
              <w:t>−0.1%</w:t>
            </w:r>
          </w:p>
        </w:tc>
        <w:tc>
          <w:tcPr>
            <w:tcW w:type="dxa" w:w="1080"/>
          </w:tcPr>
          <w:p>
            <w:r>
              <w:rPr>
                <w:rFonts w:ascii="Calibri" w:hAnsi="Calibri"/>
                <w:sz w:val="22"/>
              </w:rPr>
              <w:t>~$4.80B implied (~5.5%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guidance</w:t>
            </w:r>
          </w:p>
        </w:tc>
      </w:tr>
      <w:tr>
        <w:tc>
          <w:tcPr>
            <w:tcW w:type="dxa" w:w="1080"/>
          </w:tcPr>
          <w:p>
            <w:r>
              <w:rPr>
                <w:rFonts w:ascii="Calibri" w:hAnsi="Calibri"/>
                <w:sz w:val="22"/>
              </w:rPr>
              <w:t>Adj. EPS — FY2026</w:t>
            </w:r>
          </w:p>
        </w:tc>
        <w:tc>
          <w:tcPr>
            <w:tcW w:type="dxa" w:w="1080"/>
          </w:tcPr>
          <w:p>
            <w:r>
              <w:rPr>
                <w:rFonts w:ascii="Calibri" w:hAnsi="Calibri"/>
                <w:sz w:val="22"/>
              </w:rPr>
              <w:t>$6.497</w:t>
            </w:r>
          </w:p>
        </w:tc>
        <w:tc>
          <w:tcPr>
            <w:tcW w:type="dxa" w:w="1080"/>
          </w:tcPr>
          <w:p>
            <w:r>
              <w:rPr>
                <w:rFonts w:ascii="Calibri" w:hAnsi="Calibri"/>
                <w:sz w:val="22"/>
              </w:rPr>
              <w:t>$6.502</w:t>
            </w:r>
          </w:p>
        </w:tc>
        <w:tc>
          <w:tcPr>
            <w:tcW w:type="dxa" w:w="1080"/>
          </w:tcPr>
          <w:p>
            <w:r>
              <w:rPr>
                <w:rFonts w:ascii="Calibri" w:hAnsi="Calibri"/>
                <w:sz w:val="22"/>
              </w:rPr>
              <w:t>+0.1%</w:t>
            </w:r>
          </w:p>
        </w:tc>
        <w:tc>
          <w:tcPr>
            <w:tcW w:type="dxa" w:w="1080"/>
          </w:tcPr>
          <w:p>
            <w:r>
              <w:rPr>
                <w:rFonts w:ascii="Calibri" w:hAnsi="Calibri"/>
                <w:sz w:val="22"/>
              </w:rPr>
              <w:t>$6.45–$6.55 (mid: $6.50)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Net Sales — FY2026</w:t>
            </w:r>
          </w:p>
        </w:tc>
        <w:tc>
          <w:tcPr>
            <w:tcW w:type="dxa" w:w="1080"/>
          </w:tcPr>
          <w:p>
            <w:r>
              <w:rPr>
                <w:rFonts w:ascii="Calibri" w:hAnsi="Calibri"/>
                <w:sz w:val="22"/>
              </w:rPr>
              <w:t>$18.828B</w:t>
            </w:r>
          </w:p>
        </w:tc>
        <w:tc>
          <w:tcPr>
            <w:tcW w:type="dxa" w:w="1080"/>
          </w:tcPr>
          <w:p>
            <w:r>
              <w:rPr>
                <w:rFonts w:ascii="Calibri" w:hAnsi="Calibri"/>
                <w:sz w:val="22"/>
              </w:rPr>
              <w:t>$18.819B</w:t>
            </w:r>
          </w:p>
        </w:tc>
        <w:tc>
          <w:tcPr>
            <w:tcW w:type="dxa" w:w="1080"/>
          </w:tcPr>
          <w:p>
            <w:r>
              <w:rPr>
                <w:rFonts w:ascii="Calibri" w:hAnsi="Calibri"/>
                <w:sz w:val="22"/>
              </w:rPr>
              <w:t>−0.1%</w:t>
            </w:r>
          </w:p>
        </w:tc>
        <w:tc>
          <w:tcPr>
            <w:tcW w:type="dxa" w:w="1080"/>
          </w:tcPr>
          <w:p>
            <w:r>
              <w:rPr>
                <w:rFonts w:ascii="Calibri" w:hAnsi="Calibri"/>
                <w:sz w:val="22"/>
              </w:rPr>
              <w:t>~$18.8B implied (~4.5%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guidance</w:t>
            </w:r>
          </w:p>
        </w:tc>
      </w:tr>
      <w:tr>
        <w:tc>
          <w:tcPr>
            <w:tcW w:type="dxa" w:w="1080"/>
          </w:tcPr>
          <w:p>
            <w:r>
              <w:rPr>
                <w:rFonts w:ascii="Calibri" w:hAnsi="Calibri"/>
                <w:sz w:val="22"/>
              </w:rPr>
              <w:t>Adj. EPS — FY2027</w:t>
            </w:r>
          </w:p>
        </w:tc>
        <w:tc>
          <w:tcPr>
            <w:tcW w:type="dxa" w:w="1080"/>
          </w:tcPr>
          <w:p>
            <w:r>
              <w:rPr>
                <w:rFonts w:ascii="Calibri" w:hAnsi="Calibri"/>
                <w:sz w:val="22"/>
              </w:rPr>
              <w:t>$7.140</w:t>
            </w:r>
          </w:p>
        </w:tc>
        <w:tc>
          <w:tcPr>
            <w:tcW w:type="dxa" w:w="1080"/>
          </w:tcPr>
          <w:p>
            <w:r>
              <w:rPr>
                <w:rFonts w:ascii="Calibri" w:hAnsi="Calibri"/>
                <w:sz w:val="22"/>
              </w:rPr>
              <w:t>$7.190</w:t>
            </w:r>
          </w:p>
        </w:tc>
        <w:tc>
          <w:tcPr>
            <w:tcW w:type="dxa" w:w="1080"/>
          </w:tcPr>
          <w:p>
            <w:r>
              <w:rPr>
                <w:rFonts w:ascii="Calibri" w:hAnsi="Calibri"/>
                <w:sz w:val="22"/>
              </w:rPr>
              <w:t>+0.7%</w:t>
            </w:r>
          </w:p>
        </w:tc>
        <w:tc>
          <w:tcPr>
            <w:tcW w:type="dxa" w:w="1080"/>
          </w:tcPr>
          <w:p>
            <w:r>
              <w:rPr>
                <w:rFonts w:ascii="Calibri" w:hAnsi="Calibri"/>
                <w:sz w:val="22"/>
              </w:rPr>
              <w:t>No formal FY2027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FY2027</w:t>
            </w:r>
          </w:p>
        </w:tc>
        <w:tc>
          <w:tcPr>
            <w:tcW w:type="dxa" w:w="1080"/>
          </w:tcPr>
          <w:p>
            <w:r>
              <w:rPr>
                <w:rFonts w:ascii="Calibri" w:hAnsi="Calibri"/>
                <w:sz w:val="22"/>
              </w:rPr>
              <w:t>$19.803B</w:t>
            </w:r>
          </w:p>
        </w:tc>
        <w:tc>
          <w:tcPr>
            <w:tcW w:type="dxa" w:w="1080"/>
          </w:tcPr>
          <w:p>
            <w:r>
              <w:rPr>
                <w:rFonts w:ascii="Calibri" w:hAnsi="Calibri"/>
                <w:sz w:val="22"/>
              </w:rPr>
              <w:t>$19.818B</w:t>
            </w:r>
          </w:p>
        </w:tc>
        <w:tc>
          <w:tcPr>
            <w:tcW w:type="dxa" w:w="1080"/>
          </w:tcPr>
          <w:p>
            <w:r>
              <w:rPr>
                <w:rFonts w:ascii="Calibri" w:hAnsi="Calibri"/>
                <w:sz w:val="22"/>
              </w:rPr>
              <w:t>+0.1%</w:t>
            </w:r>
          </w:p>
        </w:tc>
        <w:tc>
          <w:tcPr>
            <w:tcW w:type="dxa" w:w="1080"/>
          </w:tcPr>
          <w:p>
            <w:r>
              <w:rPr>
                <w:rFonts w:ascii="Calibri" w:hAnsi="Calibri"/>
                <w:sz w:val="22"/>
              </w:rPr>
              <w:t>No formal FY2027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The revision trail from May 8 through August 3 shows near-zero movement in both Q3 and full-year estimates — the largest single-week move was less than 0.2% in either direction. This stability reflects a well-guided company where the Street has high confidence in the guidance range. FY2027 estimates have drifted modestly higher (+0.7% on EPS), suggesting analysts are beginning to price in the 2028 margin expansion roadmap.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 is up </w:t>
      </w:r>
      <w:r>
        <w:rPr>
          <w:rFonts w:ascii="Calibri" w:hAnsi="Calibri"/>
          <w:b/>
          <w:color w:val="525866"/>
          <w:sz w:val="22"/>
        </w:rPr>
        <w:t>~11% over the past month and ~13% over three months</w:t>
      </w:r>
      <w:r>
        <w:rPr>
          <w:rFonts w:ascii="Calibri" w:hAnsi="Calibri"/>
          <w:color w:val="525866"/>
          <w:sz w:val="22"/>
        </w:rPr>
        <w:t>, with the near-term move driven by a combination of multiple re-rating and earnings revision — NTM EV/EBITDA has expanded ~5% over one month to 16.4x, while the 12-month multiple has actually compressed ~6% from 17.5x, suggesting the stock is re-rating from a depressed base rather than running ahead of fundamentals.</w:t>
      </w:r>
    </w:p>
    <w:p>
      <w:r>
        <w:rPr>
          <w:rFonts w:ascii="Calibri" w:hAnsi="Calibri"/>
          <w:b/>
          <w:color w:val="525866"/>
          <w:sz w:val="22"/>
        </w:rPr>
        <w:t>Stock Performance Summary (Since Q2 FY2026 Earnings, May 5,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1 Month</w:t>
            </w:r>
          </w:p>
        </w:tc>
        <w:tc>
          <w:tcPr>
            <w:tcW w:type="dxa" w:w="1728"/>
            <w:shd w:val="clear" w:color="auto" w:fill="3B4259"/>
          </w:tcPr>
          <w:p>
            <w:r>
              <w:rPr>
                <w:rFonts w:ascii="Calibri" w:hAnsi="Calibri"/>
                <w:b/>
                <w:color w:val="FFFFFF"/>
                <w:sz w:val="22"/>
              </w:rPr>
              <w:t>3 Months</w:t>
            </w:r>
          </w:p>
        </w:tc>
        <w:tc>
          <w:tcPr>
            <w:tcW w:type="dxa" w:w="1728"/>
            <w:shd w:val="clear" w:color="auto" w:fill="3B4259"/>
          </w:tcPr>
          <w:p>
            <w:r>
              <w:rPr>
                <w:rFonts w:ascii="Calibri" w:hAnsi="Calibri"/>
                <w:b/>
                <w:color w:val="FFFFFF"/>
                <w:sz w:val="22"/>
              </w:rPr>
              <w:t>6 Months</w:t>
            </w:r>
          </w:p>
        </w:tc>
        <w:tc>
          <w:tcPr>
            <w:tcW w:type="dxa" w:w="1728"/>
            <w:shd w:val="clear" w:color="auto" w:fill="3B4259"/>
          </w:tcPr>
          <w:p>
            <w:r>
              <w:rPr>
                <w:rFonts w:ascii="Calibri" w:hAnsi="Calibri"/>
                <w:b/>
                <w:color w:val="FFFFFF"/>
                <w:sz w:val="22"/>
              </w:rPr>
              <w:t>12 Months</w:t>
            </w:r>
          </w:p>
        </w:tc>
      </w:tr>
      <w:tr>
        <w:tc>
          <w:tcPr>
            <w:tcW w:type="dxa" w:w="1728"/>
          </w:tcPr>
          <w:p>
            <w:r>
              <w:rPr>
                <w:rFonts w:ascii="Calibri" w:hAnsi="Calibri"/>
                <w:sz w:val="22"/>
              </w:rPr>
              <w:t>EMR Price Return</w:t>
            </w:r>
          </w:p>
        </w:tc>
        <w:tc>
          <w:tcPr>
            <w:tcW w:type="dxa" w:w="1728"/>
          </w:tcPr>
          <w:p>
            <w:r>
              <w:rPr>
                <w:rFonts w:ascii="Calibri" w:hAnsi="Calibri"/>
                <w:sz w:val="22"/>
              </w:rPr>
              <w:t>+11.4%</w:t>
            </w:r>
          </w:p>
        </w:tc>
        <w:tc>
          <w:tcPr>
            <w:tcW w:type="dxa" w:w="1728"/>
          </w:tcPr>
          <w:p>
            <w:r>
              <w:rPr>
                <w:rFonts w:ascii="Calibri" w:hAnsi="Calibri"/>
                <w:sz w:val="22"/>
              </w:rPr>
              <w:t>+12.7%</w:t>
            </w:r>
          </w:p>
        </w:tc>
        <w:tc>
          <w:tcPr>
            <w:tcW w:type="dxa" w:w="1728"/>
          </w:tcPr>
          <w:p>
            <w:r>
              <w:rPr>
                <w:rFonts w:ascii="Calibri" w:hAnsi="Calibri"/>
                <w:sz w:val="22"/>
              </w:rPr>
              <w:t>+5.4%</w:t>
            </w:r>
          </w:p>
        </w:tc>
        <w:tc>
          <w:tcPr>
            <w:tcW w:type="dxa" w:w="1728"/>
          </w:tcPr>
          <w:p>
            <w:r>
              <w:rPr>
                <w:rFonts w:ascii="Calibri" w:hAnsi="Calibri"/>
                <w:sz w:val="22"/>
              </w:rPr>
              <w:t>+6.4%</w:t>
            </w:r>
          </w:p>
        </w:tc>
      </w:tr>
      <w:tr>
        <w:tc>
          <w:tcPr>
            <w:tcW w:type="dxa" w:w="1728"/>
          </w:tcPr>
          <w:p>
            <w:r>
              <w:rPr>
                <w:rFonts w:ascii="Calibri" w:hAnsi="Calibri"/>
                <w:sz w:val="22"/>
              </w:rPr>
              <w:t>NTM EV/EBITDA (Current)</w:t>
            </w:r>
          </w:p>
        </w:tc>
        <w:tc>
          <w:tcPr>
            <w:tcW w:type="dxa" w:w="1728"/>
          </w:tcPr>
          <w:p>
            <w:r>
              <w:rPr>
                <w:rFonts w:ascii="Calibri" w:hAnsi="Calibri"/>
                <w:sz w:val="22"/>
              </w:rPr>
              <w:t>16.35x</w:t>
            </w:r>
          </w:p>
        </w:tc>
        <w:tc>
          <w:tcPr>
            <w:tcW w:type="dxa" w:w="1728"/>
          </w:tcPr>
          <w:p>
            <w:r>
              <w:rPr>
                <w:rFonts w:ascii="Calibri" w:hAnsi="Calibri"/>
                <w:sz w:val="22"/>
              </w:rPr>
              <w:t>16.35x</w:t>
            </w:r>
          </w:p>
        </w:tc>
        <w:tc>
          <w:tcPr>
            <w:tcW w:type="dxa" w:w="1728"/>
          </w:tcPr>
          <w:p>
            <w:r>
              <w:rPr>
                <w:rFonts w:ascii="Calibri" w:hAnsi="Calibri"/>
                <w:sz w:val="22"/>
              </w:rPr>
              <w:t>16.35x</w:t>
            </w:r>
          </w:p>
        </w:tc>
        <w:tc>
          <w:tcPr>
            <w:tcW w:type="dxa" w:w="1728"/>
          </w:tcPr>
          <w:p>
            <w:r>
              <w:rPr>
                <w:rFonts w:ascii="Calibri" w:hAnsi="Calibri"/>
                <w:sz w:val="22"/>
              </w:rPr>
              <w:t>16.35x</w:t>
            </w:r>
          </w:p>
        </w:tc>
      </w:tr>
      <w:tr>
        <w:tc>
          <w:tcPr>
            <w:tcW w:type="dxa" w:w="1728"/>
          </w:tcPr>
          <w:p>
            <w:r>
              <w:rPr>
                <w:rFonts w:ascii="Calibri" w:hAnsi="Calibri"/>
                <w:sz w:val="22"/>
              </w:rPr>
              <w:t>NTM EV/EBITDA (At Horizon)</w:t>
            </w:r>
          </w:p>
        </w:tc>
        <w:tc>
          <w:tcPr>
            <w:tcW w:type="dxa" w:w="1728"/>
          </w:tcPr>
          <w:p>
            <w:r>
              <w:rPr>
                <w:rFonts w:ascii="Calibri" w:hAnsi="Calibri"/>
                <w:sz w:val="22"/>
              </w:rPr>
              <w:t>15.54x</w:t>
            </w:r>
          </w:p>
        </w:tc>
        <w:tc>
          <w:tcPr>
            <w:tcW w:type="dxa" w:w="1728"/>
          </w:tcPr>
          <w:p>
            <w:r>
              <w:rPr>
                <w:rFonts w:ascii="Calibri" w:hAnsi="Calibri"/>
                <w:sz w:val="22"/>
              </w:rPr>
              <w:t>15.93x</w:t>
            </w:r>
          </w:p>
        </w:tc>
        <w:tc>
          <w:tcPr>
            <w:tcW w:type="dxa" w:w="1728"/>
          </w:tcPr>
          <w:p>
            <w:r>
              <w:rPr>
                <w:rFonts w:ascii="Calibri" w:hAnsi="Calibri"/>
                <w:sz w:val="22"/>
              </w:rPr>
              <w:t>17.12x</w:t>
            </w:r>
          </w:p>
        </w:tc>
        <w:tc>
          <w:tcPr>
            <w:tcW w:type="dxa" w:w="1728"/>
          </w:tcPr>
          <w:p>
            <w:r>
              <w:rPr>
                <w:rFonts w:ascii="Calibri" w:hAnsi="Calibri"/>
                <w:sz w:val="22"/>
              </w:rPr>
              <w:t>17.45x</w:t>
            </w:r>
          </w:p>
        </w:tc>
      </w:tr>
      <w:tr>
        <w:tc>
          <w:tcPr>
            <w:tcW w:type="dxa" w:w="1728"/>
          </w:tcPr>
          <w:p>
            <w:r>
              <w:rPr>
                <w:rFonts w:ascii="Calibri" w:hAnsi="Calibri"/>
                <w:sz w:val="22"/>
              </w:rPr>
              <w:t>Multiple Δ (%)</w:t>
            </w:r>
          </w:p>
        </w:tc>
        <w:tc>
          <w:tcPr>
            <w:tcW w:type="dxa" w:w="1728"/>
          </w:tcPr>
          <w:p>
            <w:r>
              <w:rPr>
                <w:rFonts w:ascii="Calibri" w:hAnsi="Calibri"/>
                <w:sz w:val="22"/>
              </w:rPr>
              <w:t>+5.2%</w:t>
            </w:r>
          </w:p>
        </w:tc>
        <w:tc>
          <w:tcPr>
            <w:tcW w:type="dxa" w:w="1728"/>
          </w:tcPr>
          <w:p>
            <w:r>
              <w:rPr>
                <w:rFonts w:ascii="Calibri" w:hAnsi="Calibri"/>
                <w:sz w:val="22"/>
              </w:rPr>
              <w:t>+2.7%</w:t>
            </w:r>
          </w:p>
        </w:tc>
        <w:tc>
          <w:tcPr>
            <w:tcW w:type="dxa" w:w="1728"/>
          </w:tcPr>
          <w:p>
            <w:r>
              <w:rPr>
                <w:rFonts w:ascii="Calibri" w:hAnsi="Calibri"/>
                <w:sz w:val="22"/>
              </w:rPr>
              <w:t>−4.5%</w:t>
            </w:r>
          </w:p>
        </w:tc>
        <w:tc>
          <w:tcPr>
            <w:tcW w:type="dxa" w:w="1728"/>
          </w:tcPr>
          <w:p>
            <w:r>
              <w:rPr>
                <w:rFonts w:ascii="Calibri" w:hAnsi="Calibri"/>
                <w:sz w:val="22"/>
              </w:rPr>
              <w:t>−6.3%</w:t>
            </w:r>
          </w:p>
        </w:tc>
      </w:tr>
      <w:tr>
        <w:tc>
          <w:tcPr>
            <w:tcW w:type="dxa" w:w="1728"/>
          </w:tcPr>
          <w:p>
            <w:r>
              <w:rPr>
                <w:rFonts w:ascii="Calibri" w:hAnsi="Calibri"/>
                <w:sz w:val="22"/>
              </w:rPr>
              <w:t>NTM P/E (Current)</w:t>
            </w:r>
          </w:p>
        </w:tc>
        <w:tc>
          <w:tcPr>
            <w:tcW w:type="dxa" w:w="1728"/>
          </w:tcPr>
          <w:p>
            <w:r>
              <w:rPr>
                <w:rFonts w:ascii="Calibri" w:hAnsi="Calibri"/>
                <w:sz w:val="22"/>
              </w:rPr>
              <w:t>21.15x</w:t>
            </w:r>
          </w:p>
        </w:tc>
        <w:tc>
          <w:tcPr>
            <w:tcW w:type="dxa" w:w="1728"/>
          </w:tcPr>
          <w:p>
            <w:r>
              <w:rPr>
                <w:rFonts w:ascii="Calibri" w:hAnsi="Calibri"/>
                <w:sz w:val="22"/>
              </w:rPr>
              <w:t>21.15x</w:t>
            </w:r>
          </w:p>
        </w:tc>
        <w:tc>
          <w:tcPr>
            <w:tcW w:type="dxa" w:w="1728"/>
          </w:tcPr>
          <w:p>
            <w:r>
              <w:rPr>
                <w:rFonts w:ascii="Calibri" w:hAnsi="Calibri"/>
                <w:sz w:val="22"/>
              </w:rPr>
              <w:t>21.15x</w:t>
            </w:r>
          </w:p>
        </w:tc>
        <w:tc>
          <w:tcPr>
            <w:tcW w:type="dxa" w:w="1728"/>
          </w:tcPr>
          <w:p>
            <w:r>
              <w:rPr>
                <w:rFonts w:ascii="Calibri" w:hAnsi="Calibri"/>
                <w:sz w:val="22"/>
              </w:rPr>
              <w:t>21.15x</w:t>
            </w:r>
          </w:p>
        </w:tc>
      </w:tr>
      <w:tr>
        <w:tc>
          <w:tcPr>
            <w:tcW w:type="dxa" w:w="1728"/>
          </w:tcPr>
          <w:p>
            <w:r>
              <w:rPr>
                <w:rFonts w:ascii="Calibri" w:hAnsi="Calibri"/>
                <w:sz w:val="22"/>
              </w:rPr>
              <w:t>NTM P/E (At Horizon)</w:t>
            </w:r>
          </w:p>
        </w:tc>
        <w:tc>
          <w:tcPr>
            <w:tcW w:type="dxa" w:w="1728"/>
          </w:tcPr>
          <w:p>
            <w:r>
              <w:rPr>
                <w:rFonts w:ascii="Calibri" w:hAnsi="Calibri"/>
                <w:sz w:val="22"/>
              </w:rPr>
              <w:t>24.97x</w:t>
            </w:r>
          </w:p>
        </w:tc>
        <w:tc>
          <w:tcPr>
            <w:tcW w:type="dxa" w:w="1728"/>
          </w:tcPr>
          <w:p>
            <w:r>
              <w:rPr>
                <w:rFonts w:ascii="Calibri" w:hAnsi="Calibri"/>
                <w:sz w:val="22"/>
              </w:rPr>
              <w:t>25.68x</w:t>
            </w:r>
          </w:p>
        </w:tc>
        <w:tc>
          <w:tcPr>
            <w:tcW w:type="dxa" w:w="1728"/>
          </w:tcPr>
          <w:p>
            <w:r>
              <w:rPr>
                <w:rFonts w:ascii="Calibri" w:hAnsi="Calibri"/>
                <w:sz w:val="22"/>
              </w:rPr>
              <w:t>28.45x</w:t>
            </w:r>
          </w:p>
        </w:tc>
        <w:tc>
          <w:tcPr>
            <w:tcW w:type="dxa" w:w="1728"/>
          </w:tcPr>
          <w:p>
            <w:r>
              <w:rPr>
                <w:rFonts w:ascii="Calibri" w:hAnsi="Calibri"/>
                <w:sz w:val="22"/>
              </w:rPr>
              <w:t>28.74x</w:t>
            </w:r>
          </w:p>
        </w:tc>
      </w:tr>
      <w:tr>
        <w:tc>
          <w:tcPr>
            <w:tcW w:type="dxa" w:w="1728"/>
          </w:tcPr>
          <w:p>
            <w:r>
              <w:rPr>
                <w:rFonts w:ascii="Calibri" w:hAnsi="Calibri"/>
                <w:sz w:val="22"/>
              </w:rPr>
              <w:t>NTM P/FCF (Current)</w:t>
            </w:r>
          </w:p>
        </w:tc>
        <w:tc>
          <w:tcPr>
            <w:tcW w:type="dxa" w:w="1728"/>
          </w:tcPr>
          <w:p>
            <w:r>
              <w:rPr>
                <w:rFonts w:ascii="Calibri" w:hAnsi="Calibri"/>
                <w:sz w:val="22"/>
              </w:rPr>
              <w:t>22.29x</w:t>
            </w:r>
          </w:p>
        </w:tc>
        <w:tc>
          <w:tcPr>
            <w:tcW w:type="dxa" w:w="1728"/>
          </w:tcPr>
          <w:p>
            <w:r>
              <w:rPr>
                <w:rFonts w:ascii="Calibri" w:hAnsi="Calibri"/>
                <w:sz w:val="22"/>
              </w:rPr>
              <w:t>22.29x</w:t>
            </w:r>
          </w:p>
        </w:tc>
        <w:tc>
          <w:tcPr>
            <w:tcW w:type="dxa" w:w="1728"/>
          </w:tcPr>
          <w:p>
            <w:r>
              <w:rPr>
                <w:rFonts w:ascii="Calibri" w:hAnsi="Calibri"/>
                <w:sz w:val="22"/>
              </w:rPr>
              <w:t>22.29x</w:t>
            </w:r>
          </w:p>
        </w:tc>
        <w:tc>
          <w:tcPr>
            <w:tcW w:type="dxa" w:w="1728"/>
          </w:tcPr>
          <w:p>
            <w:r>
              <w:rPr>
                <w:rFonts w:ascii="Calibri" w:hAnsi="Calibri"/>
                <w:sz w:val="22"/>
              </w:rPr>
              <w:t>22.29x</w:t>
            </w:r>
          </w:p>
        </w:tc>
      </w:tr>
    </w:tbl>
    <w:p>
      <w:r>
        <w:rPr>
          <w:rFonts w:ascii="Calibri" w:hAnsi="Calibri"/>
          <w:b/>
          <w:color w:val="525866"/>
          <w:sz w:val="22"/>
        </w:rPr>
        <w:t>Key Observations:</w:t>
      </w:r>
      <w:r>
        <w:rPr>
          <w:rFonts w:ascii="Calibri" w:hAnsi="Calibri"/>
          <w:color w:val="525866"/>
          <w:sz w:val="22"/>
        </w:rPr>
        <w:t xml:space="preserve"> The 12-month NTM P/E has compressed from ~28.7x to ~21.2x — a ~26% de-rating — while the stock is still up 6.4%, meaning the entire 12-month gain was earnings-driven, not multiple-driven. Over the past month, the dynamic has reversed: the stock is up 11.4% with ~5% from multiple expansion and ~6% from earnings growth, suggesting the market is beginning to re-rate EMR back toward its historical premium as the transformation story gains credibility. At 16.4x NTM EV/EBITDA, the stock is not expensive relative to the 2028 margin expansion roadmap (targeting ~30% adj. segment EBITA margin). Source: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post-Q2 development is the </w:t>
      </w:r>
      <w:r>
        <w:rPr>
          <w:rFonts w:ascii="Calibri" w:hAnsi="Calibri"/>
          <w:b/>
          <w:color w:val="525866"/>
          <w:sz w:val="22"/>
        </w:rPr>
        <w:t>gradual Middle East operational recovery</w:t>
      </w:r>
      <w:r>
        <w:rPr>
          <w:rFonts w:ascii="Calibri" w:hAnsi="Calibri"/>
          <w:color w:val="525866"/>
          <w:sz w:val="22"/>
        </w:rPr>
        <w:t xml:space="preserve"> — customer sites back to ~75% capacity by mid-April and field service engineers at ~80% of pre-conflict levels — which de-risks the Q3 revenue guide and sets up a multi-quarter rebuild opportunity. The appointment of Jennifer Newstead to the board is a secondary positive signal on governance and technology credibility.</w:t>
      </w:r>
    </w:p>
    <w:p>
      <w:pPr>
        <w:pStyle w:val="ListBullet"/>
        <w:ind w:left="360" w:hanging="360"/>
      </w:pPr>
      <w:r>
        <w:rPr>
          <w:rFonts w:ascii="Calibri" w:hAnsi="Calibri"/>
          <w:b/>
          <w:color w:val="525866"/>
          <w:sz w:val="22"/>
        </w:rPr>
        <w:t>May 5, 2026 — Q2 FY2026 Earnings &amp; Updated Guidance:</w:t>
      </w:r>
      <w:r>
        <w:rPr>
          <w:rFonts w:ascii="Calibri" w:hAnsi="Calibri"/>
          <w:color w:val="525866"/>
          <w:sz w:val="22"/>
        </w:rPr>
        <w:t xml:space="preserve"> EMR reported Q2 results with EPS in-line and revenue slightly below consensus. Management raised the FY2026 adjusted EPS floor and midpoint to $6.45–$6.55, reaffirmed ~28% adj. segment EBITDA margin, and lowered full-year underlying sales growth to ~3% (from ~4%) to absorb the Middle East 1-point drag. Stock rose on the day, reflecting market relief on margin resilience. </w:t>
      </w:r>
      <w:r>
        <w:rPr>
          <w:rFonts w:ascii="Calibri" w:hAnsi="Calibri"/>
          <w:i/>
          <w:color w:val="525866"/>
          <w:sz w:val="22"/>
        </w:rPr>
        <w:t>Implication:</w:t>
      </w:r>
      <w:r>
        <w:rPr>
          <w:rFonts w:ascii="Calibri" w:hAnsi="Calibri"/>
          <w:i/>
          <w:color w:val="525866"/>
          <w:sz w:val="22"/>
        </w:rPr>
        <w:t xml:space="preserve"> Sets a clean, well-understood bar for Q3.</w:t>
      </w:r>
    </w:p>
    <w:p>
      <w:pPr>
        <w:pStyle w:val="ListBullet"/>
        <w:ind w:left="360" w:hanging="360"/>
      </w:pPr>
      <w:r>
        <w:rPr>
          <w:rFonts w:ascii="Calibri" w:hAnsi="Calibri"/>
          <w:b/>
          <w:color w:val="525866"/>
          <w:sz w:val="22"/>
        </w:rPr>
        <w:t>May 5, 2026 — Jennifer Newstead Appointed to Board:</w:t>
      </w:r>
      <w:r>
        <w:rPr>
          <w:rFonts w:ascii="Calibri" w:hAnsi="Calibri"/>
          <w:color w:val="525866"/>
          <w:sz w:val="22"/>
        </w:rPr>
        <w:t xml:space="preserve"> Apple SVP and General Counsel Jennifer Newstead (previously CLO at Meta) joins the board effective August 3, 2026, expanding the board to 11 members. </w:t>
      </w:r>
      <w:r>
        <w:rPr>
          <w:rFonts w:ascii="Calibri" w:hAnsi="Calibri"/>
          <w:i/>
          <w:color w:val="525866"/>
          <w:sz w:val="22"/>
        </w:rPr>
        <w:t>Implication:</w:t>
      </w:r>
      <w:r>
        <w:rPr>
          <w:rFonts w:ascii="Calibri" w:hAnsi="Calibri"/>
          <w:i/>
          <w:color w:val="525866"/>
          <w:sz w:val="22"/>
        </w:rPr>
        <w:t xml:space="preserve"> Adds technology and legal expertise; reinforces EMR’s software-defined automation positioning and AI credibility.</w:t>
      </w:r>
    </w:p>
    <w:p>
      <w:pPr>
        <w:pStyle w:val="ListBullet"/>
        <w:ind w:left="360" w:hanging="360"/>
      </w:pPr>
      <w:r>
        <w:rPr>
          <w:rFonts w:ascii="Calibri" w:hAnsi="Calibri"/>
          <w:b/>
          <w:color w:val="525866"/>
          <w:sz w:val="22"/>
        </w:rPr>
        <w:t>May 5, 2026 — Middle East Operational Update:</w:t>
      </w:r>
      <w:r>
        <w:rPr>
          <w:rFonts w:ascii="Calibri" w:hAnsi="Calibri"/>
          <w:color w:val="525866"/>
          <w:sz w:val="22"/>
        </w:rPr>
        <w:t xml:space="preserve"> Management disclosed that 47 customer sites were damaged; by mid-April, sites were largely operational at ~75% capacity. Field service engineers recovered to ~80% of pre-conflict levels. Strait of Hormuz remains effectively closed but alternative logistics routes are being implemented. </w:t>
      </w:r>
      <w:r>
        <w:rPr>
          <w:rFonts w:ascii="Calibri" w:hAnsi="Calibri"/>
          <w:i/>
          <w:color w:val="525866"/>
          <w:sz w:val="22"/>
        </w:rPr>
        <w:t>Implication:</w:t>
      </w:r>
      <w:r>
        <w:rPr>
          <w:rFonts w:ascii="Calibri" w:hAnsi="Calibri"/>
          <w:i/>
          <w:color w:val="525866"/>
          <w:sz w:val="22"/>
        </w:rPr>
        <w:t xml:space="preserve"> Operational recovery is tracking guidance assumptions; the ~$100M rebuild/restart opportunity is expected to play out over several quarters, providing a multi-quarter tailwind.</w:t>
      </w:r>
    </w:p>
    <w:p>
      <w:pPr>
        <w:pStyle w:val="ListBullet"/>
        <w:ind w:left="360" w:hanging="360"/>
      </w:pPr>
      <w:r>
        <w:rPr>
          <w:rFonts w:ascii="Calibri" w:hAnsi="Calibri"/>
          <w:b/>
          <w:color w:val="525866"/>
          <w:sz w:val="22"/>
        </w:rPr>
        <w:t>May 5, 2026 — Test &amp; Measurement Guidance Raised:</w:t>
      </w:r>
      <w:r>
        <w:rPr>
          <w:rFonts w:ascii="Calibri" w:hAnsi="Calibri"/>
          <w:color w:val="525866"/>
          <w:sz w:val="22"/>
        </w:rPr>
        <w:t xml:space="preserve"> Full-year T&amp;M growth guidance raised to low teens from prior high single-digit expectation, driven by sustained momentum in semis, aerospace/defense, and data center. Automotive (primarily Europe) seen as bottoming with low single-digit growth expected. </w:t>
      </w:r>
      <w:r>
        <w:rPr>
          <w:rFonts w:ascii="Calibri" w:hAnsi="Calibri"/>
          <w:i/>
          <w:color w:val="525866"/>
          <w:sz w:val="22"/>
        </w:rPr>
        <w:t>Implication:</w:t>
      </w:r>
      <w:r>
        <w:rPr>
          <w:rFonts w:ascii="Calibri" w:hAnsi="Calibri"/>
          <w:i/>
          <w:color w:val="525866"/>
          <w:sz w:val="22"/>
        </w:rPr>
        <w:t xml:space="preserve"> T&amp;M is a meaningful upside driver for Q3 (guided mid-teens growth in Q3); watch for any commentary on sustainability into FY2027.</w:t>
      </w:r>
    </w:p>
    <w:p>
      <w:pPr>
        <w:pStyle w:val="ListBullet"/>
        <w:ind w:left="360" w:hanging="360"/>
      </w:pPr>
      <w:r>
        <w:rPr>
          <w:rFonts w:ascii="Calibri" w:hAnsi="Calibri"/>
          <w:b/>
          <w:color w:val="525866"/>
          <w:sz w:val="22"/>
        </w:rPr>
        <w:t>May 5, 2026 — LNG FID Momentum Cited:</w:t>
      </w:r>
      <w:r>
        <w:rPr>
          <w:rFonts w:ascii="Calibri" w:hAnsi="Calibri"/>
          <w:color w:val="525866"/>
          <w:sz w:val="22"/>
        </w:rPr>
        <w:t xml:space="preserve"> Management explicitly cited active FID momentum in US LNG in recent weeks, with NextDecade’s Rio Grande LNG Train 4 and 5 expansion as a Q2 project win. </w:t>
      </w:r>
      <w:r>
        <w:rPr>
          <w:rFonts w:ascii="Calibri" w:hAnsi="Calibri"/>
          <w:i/>
          <w:color w:val="525866"/>
          <w:sz w:val="22"/>
        </w:rPr>
        <w:t>Implication:</w:t>
      </w:r>
      <w:r>
        <w:rPr>
          <w:rFonts w:ascii="Calibri" w:hAnsi="Calibri"/>
          <w:i/>
          <w:color w:val="525866"/>
          <w:sz w:val="22"/>
        </w:rPr>
        <w:t xml:space="preserve"> LNG orders runway remains open; a substantial portion of global planned capacity is still unawarded, supporting multi-year project funnel growth.</w:t>
      </w:r>
    </w:p>
    <w:p>
      <w:pPr>
        <w:pStyle w:val="ListBullet"/>
        <w:ind w:left="360" w:hanging="360"/>
      </w:pPr>
      <w:r>
        <w:rPr>
          <w:rFonts w:ascii="Calibri" w:hAnsi="Calibri"/>
          <w:b/>
          <w:color w:val="525866"/>
          <w:sz w:val="22"/>
        </w:rPr>
        <w:t>May 5, 2026 — China Guidance Lowered:</w:t>
      </w:r>
      <w:r>
        <w:rPr>
          <w:rFonts w:ascii="Calibri" w:hAnsi="Calibri"/>
          <w:color w:val="525866"/>
          <w:sz w:val="22"/>
        </w:rPr>
        <w:t xml:space="preserve"> China now expected to decline mid-single digits for the year (vs. low single-digit decline prior), driven by chemical sector overcapacity and weak spend. </w:t>
      </w:r>
      <w:r>
        <w:rPr>
          <w:rFonts w:ascii="Calibri" w:hAnsi="Calibri"/>
          <w:i/>
          <w:color w:val="525866"/>
          <w:sz w:val="22"/>
        </w:rPr>
        <w:t>Implication:</w:t>
      </w:r>
      <w:r>
        <w:rPr>
          <w:rFonts w:ascii="Calibri" w:hAnsi="Calibri"/>
          <w:i/>
          <w:color w:val="525866"/>
          <w:sz w:val="22"/>
        </w:rPr>
        <w:t xml:space="preserve"> China remains a headwind; any further deterioration beyond mid-single-digit decline would be a negative surprise for Q3.</w:t>
      </w:r>
    </w:p>
    <w:p>
      <w:pPr>
        <w:pStyle w:val="ListBullet"/>
        <w:ind w:left="360" w:hanging="360"/>
      </w:pPr>
      <w:r>
        <w:rPr>
          <w:rFonts w:ascii="Calibri" w:hAnsi="Calibri"/>
          <w:b/>
          <w:color w:val="525866"/>
          <w:sz w:val="22"/>
        </w:rPr>
        <w:t>May 5, 2026 — Tariff Neutrality Confirmed:</w:t>
      </w:r>
      <w:r>
        <w:rPr>
          <w:rFonts w:ascii="Calibri" w:hAnsi="Calibri"/>
          <w:color w:val="525866"/>
          <w:sz w:val="22"/>
        </w:rPr>
        <w:t xml:space="preserve"> Management confirmed net neutral tariff impact — removal of IEEPA tariffs offset by Section 122 and 232 tariffs and higher freight costs. Guidance excludes any benefit from potential tariff refunds. </w:t>
      </w:r>
      <w:r>
        <w:rPr>
          <w:rFonts w:ascii="Calibri" w:hAnsi="Calibri"/>
          <w:i/>
          <w:color w:val="525866"/>
          <w:sz w:val="22"/>
        </w:rPr>
        <w:t>Implication:</w:t>
      </w:r>
      <w:r>
        <w:rPr>
          <w:rFonts w:ascii="Calibri" w:hAnsi="Calibri"/>
          <w:i/>
          <w:color w:val="525866"/>
          <w:sz w:val="22"/>
        </w:rPr>
        <w:t xml:space="preserve"> Any tariff refund would be upside to guidance; no incremental tariff risk embedded.</w:t>
      </w:r>
    </w:p>
    <w:p>
      <w:pPr>
        <w:pStyle w:val="ListBullet"/>
        <w:ind w:left="360" w:hanging="360"/>
      </w:pPr>
      <w:r>
        <w:rPr>
          <w:rFonts w:ascii="Calibri" w:hAnsi="Calibri"/>
          <w:b/>
          <w:color w:val="525866"/>
          <w:sz w:val="22"/>
        </w:rPr>
        <w:t>July 14, 2026 — Q3 Earnings Call Scheduled:</w:t>
      </w:r>
      <w:r>
        <w:rPr>
          <w:rFonts w:ascii="Calibri" w:hAnsi="Calibri"/>
          <w:color w:val="525866"/>
          <w:sz w:val="22"/>
        </w:rPr>
        <w:t xml:space="preserve"> EMR formally announced the Q3 FY2026 earnings release and conference call for August 4, 2026. No pre-announcement or guidance revision accompanied the scheduling notice. </w:t>
      </w:r>
      <w:r>
        <w:rPr>
          <w:rFonts w:ascii="Calibri" w:hAnsi="Calibri"/>
          <w:i/>
          <w:color w:val="525866"/>
          <w:sz w:val="22"/>
        </w:rPr>
        <w:t>Implication:</w:t>
      </w:r>
      <w:r>
        <w:rPr>
          <w:rFonts w:ascii="Calibri" w:hAnsi="Calibri"/>
          <w:i/>
          <w:color w:val="525866"/>
          <w:sz w:val="22"/>
        </w:rPr>
        <w:t xml:space="preserve"> Absence of a pre-announcement is consistent with results tracking within the guided range.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Q2 print is minimal — a single open-market sale by the COO in early June, executed through a trust (indirect ownership). </w:t>
      </w:r>
      <w:r>
        <w:rPr>
          <w:rFonts w:ascii="Calibri" w:hAnsi="Calibri"/>
          <w:b/>
          <w:color w:val="525866"/>
          <w:sz w:val="22"/>
        </w:rPr>
        <w:t>No open-market buys have been filed</w:t>
      </w:r>
      <w:r>
        <w:rPr>
          <w:rFonts w:ascii="Calibri" w:hAnsi="Calibri"/>
          <w:color w:val="525866"/>
          <w:sz w:val="22"/>
        </w:rPr>
        <w:t>, and the sale is modest in size relative to the executive’s total holdings. Nothing here signals unusual concern or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Krishnan Ram R.</w:t>
            </w:r>
          </w:p>
        </w:tc>
        <w:tc>
          <w:tcPr>
            <w:tcW w:type="dxa" w:w="1440"/>
          </w:tcPr>
          <w:p>
            <w:r>
              <w:rPr>
                <w:rFonts w:ascii="Calibri" w:hAnsi="Calibri"/>
                <w:sz w:val="22"/>
              </w:rPr>
              <w:t>Executive Vice President &amp; COO</w:t>
            </w:r>
          </w:p>
        </w:tc>
        <w:tc>
          <w:tcPr>
            <w:tcW w:type="dxa" w:w="1440"/>
          </w:tcPr>
          <w:p>
            <w:r>
              <w:rPr>
                <w:rFonts w:ascii="Calibri" w:hAnsi="Calibri"/>
                <w:sz w:val="22"/>
              </w:rPr>
              <w:t>Open Market Sale</w:t>
            </w:r>
          </w:p>
        </w:tc>
        <w:tc>
          <w:tcPr>
            <w:tcW w:type="dxa" w:w="1440"/>
          </w:tcPr>
          <w:p>
            <w:r>
              <w:rPr>
                <w:rFonts w:ascii="Calibri" w:hAnsi="Calibri"/>
                <w:sz w:val="22"/>
              </w:rPr>
              <w:t>11,500 shares</w:t>
            </w:r>
          </w:p>
        </w:tc>
        <w:tc>
          <w:tcPr>
            <w:tcW w:type="dxa" w:w="1440"/>
          </w:tcPr>
          <w:p>
            <w:r>
              <w:rPr>
                <w:rFonts w:ascii="Calibri" w:hAnsi="Calibri"/>
                <w:sz w:val="22"/>
              </w:rPr>
              <w:t>June 1, 2026</w:t>
            </w:r>
          </w:p>
        </w:tc>
        <w:tc>
          <w:tcPr>
            <w:tcW w:type="dxa" w:w="1440"/>
          </w:tcPr>
          <w:p>
            <w:r>
              <w:rPr>
                <w:rFonts w:ascii="Calibri" w:hAnsi="Calibri"/>
                <w:sz w:val="22"/>
              </w:rPr>
              <w:t>Sold through trust (indirect ownership); not flagged as 10b5-1 plan; 159,639 shares remaining post-sale. Discretionary sale; modest relative to total holdings.</w:t>
            </w:r>
          </w:p>
        </w:tc>
      </w:tr>
    </w:tbl>
    <w:p>
      <w:r>
        <w:rPr>
          <w:rFonts w:ascii="Calibri" w:hAnsi="Calibri"/>
          <w:i/>
          <w:color w:val="525866"/>
          <w:sz w:val="22"/>
        </w:rPr>
        <w:t>Source: SEC Form 4 Filing — Krishnan Ram R. (EMR), filed June 2, 2026.</w:t>
      </w:r>
    </w:p>
    <w:p>
      <w:r>
        <w:rPr>
          <w:rFonts w:ascii="Calibri" w:hAnsi="Calibri"/>
          <w:color w:val="525866"/>
          <w:sz w:val="22"/>
        </w:rPr>
        <w:t>No other open-market buys or sells were filed by EMR insiders in the 60-day window since the Q2 earnings print. The absence of clustered buying is not unusual given the stock’s strong recent performance (+11% in the past month), and the single sale is not large enough to be a meaningful signal.</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EMR’s Q3 setup</w:t>
      </w:r>
      <w:r>
        <w:rPr>
          <w:rFonts w:ascii="Calibri" w:hAnsi="Calibri"/>
          <w:color w:val="525866"/>
          <w:sz w:val="22"/>
        </w:rPr>
        <w:t xml:space="preserve"> — Eaton (ETN) and Dover (DOV) both reported exceptional demand in power/data center infrastructure, strong orders momentum, and expanding backlogs, all of which are direct read-throughs to EMR’s growth verticals. Ingersoll Rand (IR) provides a more nuanced read: solid overall demand with a strong July order inflection, but continued China pricing pressure and delayed long-cycle project timing that partially mirrors EMR’s own geographic headwinds.</w:t>
      </w:r>
    </w:p>
    <w:p>
      <w:r>
        <w:rPr>
          <w:rFonts w:ascii="Calibri" w:hAnsi="Calibri"/>
          <w:i/>
          <w:color w:val="525866"/>
          <w:sz w:val="22"/>
        </w:rPr>
        <w:t>Note on Peer Selection:</w:t>
      </w:r>
      <w:r>
        <w:rPr>
          <w:rFonts w:ascii="Calibri" w:hAnsi="Calibri"/>
          <w:i/>
          <w:color w:val="525866"/>
          <w:sz w:val="22"/>
        </w:rPr>
        <w:t xml:space="preserve"> All commentary below is sourced from peers’ Q2 2026 earnings calls (reported July 23–July 31, 2026), which address the April–June 2026 quarter — the same calendar period as EMR’s Q3 FY2026. This is current-quarter commentary, not retrospective prior-quarter discussion.</w:t>
      </w:r>
    </w:p>
    <w:p>
      <w:pPr>
        <w:pStyle w:val="Heading3"/>
      </w:pPr>
      <w:r>
        <w:rPr>
          <w:rFonts w:ascii="Calibri" w:hAnsi="Calibri"/>
          <w:b/>
          <w:color w:val="3B4259"/>
          <w:sz w:val="24"/>
        </w:rPr>
        <w:t>8.1 Eaton Corporation (ETN) — Q2 2026 Earnings Call (July 31, 2026)</w:t>
      </w:r>
    </w:p>
    <w:p>
      <w:r>
        <w:rPr>
          <w:rFonts w:ascii="Calibri" w:hAnsi="Calibri"/>
          <w:b/>
          <w:color w:val="525866"/>
          <w:sz w:val="22"/>
        </w:rPr>
        <w:t>Relevance to EMR:</w:t>
      </w:r>
      <w:r>
        <w:rPr>
          <w:rFonts w:ascii="Calibri" w:hAnsi="Calibri"/>
          <w:color w:val="525866"/>
          <w:sz w:val="22"/>
        </w:rPr>
        <w:t xml:space="preserve"> ETN is EMR’s closest peer in industrial automation and power infrastructure. ETN’s commentary on data center demand, power orders, and industrial pricing is a direct read-through to EMR’s power vertical and Intelligent Devices segment.</w:t>
      </w:r>
    </w:p>
    <w:p>
      <w:pPr>
        <w:pStyle w:val="ListBullet"/>
        <w:ind w:left="360" w:hanging="360"/>
      </w:pPr>
      <w:r>
        <w:rPr>
          <w:rFonts w:ascii="Calibri" w:hAnsi="Calibri"/>
          <w:b/>
          <w:color w:val="525866"/>
          <w:sz w:val="22"/>
        </w:rPr>
        <w:t>Exceptional Power &amp; Data Center Demand (Positive Read-Through):</w:t>
      </w:r>
      <w:r>
        <w:rPr>
          <w:rFonts w:ascii="Calibri" w:hAnsi="Calibri"/>
          <w:color w:val="525866"/>
          <w:sz w:val="22"/>
        </w:rPr>
        <w:t xml:space="preserve"> ETN reported record Q2 revenue of $8.5B with 14% organic growth and 23.1% margins, all above the high end of guidance. Electrical Americas delivered 18% organic growth with data centers up ~65%. </w:t>
      </w:r>
      <w:r>
        <w:rPr>
          <w:rFonts w:ascii="Calibri" w:hAnsi="Calibri"/>
          <w:i/>
          <w:color w:val="525866"/>
          <w:sz w:val="22"/>
        </w:rPr>
        <w:t>Read-through:</w:t>
      </w:r>
      <w:r>
        <w:rPr>
          <w:rFonts w:ascii="Calibri" w:hAnsi="Calibri"/>
          <w:i/>
          <w:color w:val="525866"/>
          <w:sz w:val="22"/>
        </w:rPr>
        <w:t xml:space="preserve"> Confirms the secular power/data center demand cycle that EMR is also exposed to through its Ovation DCS, DeltaV, and behind-the-meter generation business. ETN’s Ovation-equivalent (power controls) orders were up 41% at EMR in Q2; ETN’s data center strength suggests this momentum has continued into the June quarter.</w:t>
      </w:r>
    </w:p>
    <w:p>
      <w:pPr>
        <w:pStyle w:val="ListBullet"/>
        <w:ind w:left="360" w:hanging="360"/>
      </w:pPr>
      <w:r>
        <w:rPr>
          <w:rFonts w:ascii="Calibri" w:hAnsi="Calibri"/>
          <w:b/>
          <w:color w:val="525866"/>
          <w:sz w:val="22"/>
        </w:rPr>
        <w:t>Orders Acceleration Broad-Based (Positive Read-Through):</w:t>
      </w:r>
      <w:r>
        <w:rPr>
          <w:rFonts w:ascii="Calibri" w:hAnsi="Calibri"/>
          <w:color w:val="525866"/>
          <w:sz w:val="22"/>
        </w:rPr>
        <w:t xml:space="preserve"> ETN’s total company book-to-bill was 1.2x, with Electrical Americas at 1.3x. Electrical Americas orders were up 41% on a rolling 12-month basis; Electrical Global orders up 33%. Total electrical backlog increased 43% year-over-year. </w:t>
      </w:r>
      <w:r>
        <w:rPr>
          <w:rFonts w:ascii="Calibri" w:hAnsi="Calibri"/>
          <w:i/>
          <w:color w:val="525866"/>
          <w:sz w:val="22"/>
        </w:rPr>
        <w:t>Read-through:</w:t>
      </w:r>
      <w:r>
        <w:rPr>
          <w:rFonts w:ascii="Calibri" w:hAnsi="Calibri"/>
          <w:i/>
          <w:color w:val="525866"/>
          <w:sz w:val="22"/>
        </w:rPr>
        <w:t xml:space="preserve"> EMR’s own backlog was $8.2B (+9% YoY) at Q2 end; ETN’s accelerating order data suggests the industrial demand environment has not deteriorated in the June quarter, supporting EMR’s guided ~5% underlying sales growth for Q3.</w:t>
      </w:r>
    </w:p>
    <w:p>
      <w:pPr>
        <w:pStyle w:val="ListBullet"/>
        <w:ind w:left="360" w:hanging="360"/>
      </w:pPr>
      <w:r>
        <w:rPr>
          <w:rFonts w:ascii="Calibri" w:hAnsi="Calibri"/>
          <w:b/>
          <w:color w:val="525866"/>
          <w:sz w:val="22"/>
        </w:rPr>
        <w:t>Margin Expansion Despite Price/Cost Headwinds (Positive Read-Through):</w:t>
      </w:r>
      <w:r>
        <w:rPr>
          <w:rFonts w:ascii="Calibri" w:hAnsi="Calibri"/>
          <w:color w:val="525866"/>
          <w:sz w:val="22"/>
        </w:rPr>
        <w:t xml:space="preserve"> ETN’s Electrical Americas margins improved 190 bps quarter-over-quarter to 27.5% despite temporary negative price/cost dynamics. Pricing actions taken in Q2 and early Q3 are expected to return margins to roughly neutral in H2. </w:t>
      </w:r>
      <w:r>
        <w:rPr>
          <w:rFonts w:ascii="Calibri" w:hAnsi="Calibri"/>
          <w:i/>
          <w:color w:val="525866"/>
          <w:sz w:val="22"/>
        </w:rPr>
        <w:t>Read-through:</w:t>
      </w:r>
      <w:r>
        <w:rPr>
          <w:rFonts w:ascii="Calibri" w:hAnsi="Calibri"/>
          <w:i/>
          <w:color w:val="525866"/>
          <w:sz w:val="22"/>
        </w:rPr>
        <w:t xml:space="preserve"> EMR’s guided ~28% adj. segment EBITDA margin for Q3 is achievable in this environment; ETN’s ability to expand margins despite headwinds is a positive signal for EMR’s own margin execution.</w:t>
      </w:r>
    </w:p>
    <w:p>
      <w:pPr>
        <w:pStyle w:val="ListBullet"/>
        <w:ind w:left="360" w:hanging="360"/>
      </w:pPr>
      <w:r>
        <w:rPr>
          <w:rFonts w:ascii="Calibri" w:hAnsi="Calibri"/>
          <w:b/>
          <w:color w:val="525866"/>
          <w:sz w:val="22"/>
        </w:rPr>
        <w:t>Semiconductor &amp; Aerospace Strength (Positive Read-Through):</w:t>
      </w:r>
      <w:r>
        <w:rPr>
          <w:rFonts w:ascii="Calibri" w:hAnsi="Calibri"/>
          <w:color w:val="525866"/>
          <w:sz w:val="22"/>
        </w:rPr>
        <w:t xml:space="preserve"> ETN’s aerospace segment delivered 7% organic growth with record quarterly sales and record Q2 segment profit. Semiconductor exposure through Boyd (liquid cooling) is performing well above expectations. </w:t>
      </w:r>
      <w:r>
        <w:rPr>
          <w:rFonts w:ascii="Calibri" w:hAnsi="Calibri"/>
          <w:i/>
          <w:color w:val="525866"/>
          <w:sz w:val="22"/>
        </w:rPr>
        <w:t>Read-through:</w:t>
      </w:r>
      <w:r>
        <w:rPr>
          <w:rFonts w:ascii="Calibri" w:hAnsi="Calibri"/>
          <w:i/>
          <w:color w:val="525866"/>
          <w:sz w:val="22"/>
        </w:rPr>
        <w:t xml:space="preserve"> EMR’s T&amp;M segment (guided mid-teens growth in Q3) is driven by the same semis and aerospace/defense tailwinds; ETN’s data confirms these end markets remained strong through June.</w:t>
      </w:r>
    </w:p>
    <w:p>
      <w:pPr>
        <w:pStyle w:val="ListBullet"/>
        <w:ind w:left="360" w:hanging="360"/>
      </w:pPr>
      <w:r>
        <w:rPr>
          <w:rFonts w:ascii="Calibri" w:hAnsi="Calibri"/>
          <w:b/>
          <w:color w:val="525866"/>
          <w:sz w:val="22"/>
        </w:rPr>
        <w:t>US Data Center Backlog at 15 Years (Positive Read-Through):</w:t>
      </w:r>
      <w:r>
        <w:rPr>
          <w:rFonts w:ascii="Calibri" w:hAnsi="Calibri"/>
          <w:color w:val="525866"/>
          <w:sz w:val="22"/>
        </w:rPr>
        <w:t xml:space="preserve"> ETN disclosed that total US data center backlog has grown to 307GW, representing 15 years of backlog at 2025 build rates (up from 12 years in the prior update). Only ~20% converts near-term; the majority translates to 2028+ deliveries. </w:t>
      </w:r>
      <w:r>
        <w:rPr>
          <w:rFonts w:ascii="Calibri" w:hAnsi="Calibri"/>
          <w:i/>
          <w:color w:val="525866"/>
          <w:sz w:val="22"/>
        </w:rPr>
        <w:t>Read-through:</w:t>
      </w:r>
      <w:r>
        <w:rPr>
          <w:rFonts w:ascii="Calibri" w:hAnsi="Calibri"/>
          <w:i/>
          <w:color w:val="525866"/>
          <w:sz w:val="22"/>
        </w:rPr>
        <w:t xml:space="preserve"> Reinforces the multi-year duration of EMR’s power vertical opportunity; the 2028 margin expansion roadmap is supported by a durable demand backdrop.</w:t>
      </w:r>
    </w:p>
    <w:p>
      <w:pPr>
        <w:pStyle w:val="Heading3"/>
      </w:pPr>
      <w:r>
        <w:rPr>
          <w:rFonts w:ascii="Calibri" w:hAnsi="Calibri"/>
          <w:b/>
          <w:color w:val="3B4259"/>
          <w:sz w:val="24"/>
        </w:rPr>
        <w:t>8.2 Dover Corporation (DOV) — Q2 2026 Earnings Call (July 23, 2026)</w:t>
      </w:r>
    </w:p>
    <w:p>
      <w:r>
        <w:rPr>
          <w:rFonts w:ascii="Calibri" w:hAnsi="Calibri"/>
          <w:b/>
          <w:color w:val="525866"/>
          <w:sz w:val="22"/>
        </w:rPr>
        <w:t>Relevance to EMR:</w:t>
      </w:r>
      <w:r>
        <w:rPr>
          <w:rFonts w:ascii="Calibri" w:hAnsi="Calibri"/>
          <w:color w:val="525866"/>
          <w:sz w:val="22"/>
        </w:rPr>
        <w:t xml:space="preserve"> DOV overlaps with EMR in process automation, heat exchangers, LNG/cryogenic infrastructure, biopharma, and semiconductor equipment. DOV’s commentary on order momentum and secular growth verticals is a useful cross-check on EMR’s project funnel and backlog quality.</w:t>
      </w:r>
    </w:p>
    <w:p>
      <w:pPr>
        <w:pStyle w:val="ListBullet"/>
        <w:ind w:left="360" w:hanging="360"/>
      </w:pPr>
      <w:r>
        <w:rPr>
          <w:rFonts w:ascii="Calibri" w:hAnsi="Calibri"/>
          <w:b/>
          <w:color w:val="525866"/>
          <w:sz w:val="22"/>
        </w:rPr>
        <w:t>Broad-Based Order Momentum (Positive Read-Through):</w:t>
      </w:r>
      <w:r>
        <w:rPr>
          <w:rFonts w:ascii="Calibri" w:hAnsi="Calibri"/>
          <w:color w:val="525866"/>
          <w:sz w:val="22"/>
        </w:rPr>
        <w:t xml:space="preserve"> DOV reported orders up 16% YoY with a book-to-bill of 1.06x, extending strong order momentum from recent quarters. All five segments posted YoY order growth on a trailing 12-month basis — described as rare for DOV given its diverse end markets. </w:t>
      </w:r>
      <w:r>
        <w:rPr>
          <w:rFonts w:ascii="Calibri" w:hAnsi="Calibri"/>
          <w:i/>
          <w:color w:val="525866"/>
          <w:sz w:val="22"/>
        </w:rPr>
        <w:t>Read-through:</w:t>
      </w:r>
      <w:r>
        <w:rPr>
          <w:rFonts w:ascii="Calibri" w:hAnsi="Calibri"/>
          <w:i/>
          <w:color w:val="525866"/>
          <w:sz w:val="22"/>
        </w:rPr>
        <w:t xml:space="preserve"> Broad-based industrial demand is intact through June; supports EMR’s expectation of mid-single-digit orders growth in Q3 and the sustainability of its $11.2B project funnel.</w:t>
      </w:r>
    </w:p>
    <w:p>
      <w:pPr>
        <w:pStyle w:val="ListBullet"/>
        <w:ind w:left="360" w:hanging="360"/>
      </w:pPr>
      <w:r>
        <w:rPr>
          <w:rFonts w:ascii="Calibri" w:hAnsi="Calibri"/>
          <w:b/>
          <w:color w:val="525866"/>
          <w:sz w:val="22"/>
        </w:rPr>
        <w:t>Data Center Heat Exchanger Demand Exceptional (Positive Read-Through):</w:t>
      </w:r>
      <w:r>
        <w:rPr>
          <w:rFonts w:ascii="Calibri" w:hAnsi="Calibri"/>
          <w:color w:val="525866"/>
          <w:sz w:val="22"/>
        </w:rPr>
        <w:t xml:space="preserve"> DOV’s heat exchangers delivered their “best quarter ever” with particularly strong demand tied to liquid cooling for data centers. DOV is actively working to double capacity for these products over the next 12 months. Orders for brazed plate heat exchangers are being placed further into the future. </w:t>
      </w:r>
      <w:r>
        <w:rPr>
          <w:rFonts w:ascii="Calibri" w:hAnsi="Calibri"/>
          <w:i/>
          <w:color w:val="525866"/>
          <w:sz w:val="22"/>
        </w:rPr>
        <w:t>Read-through:</w:t>
      </w:r>
      <w:r>
        <w:rPr>
          <w:rFonts w:ascii="Calibri" w:hAnsi="Calibri"/>
          <w:i/>
          <w:color w:val="525866"/>
          <w:sz w:val="22"/>
        </w:rPr>
        <w:t xml:space="preserve"> Confirms the data center infrastructure buildout is accelerating, not decelerating, through the June quarter — a direct positive for EMR’s behind-the-meter power and data center automation business.</w:t>
      </w:r>
    </w:p>
    <w:p>
      <w:pPr>
        <w:pStyle w:val="ListBullet"/>
        <w:ind w:left="360" w:hanging="360"/>
      </w:pPr>
      <w:r>
        <w:rPr>
          <w:rFonts w:ascii="Calibri" w:hAnsi="Calibri"/>
          <w:b/>
          <w:color w:val="525866"/>
          <w:sz w:val="22"/>
        </w:rPr>
        <w:t>LNG &amp; Cryogenic Infrastructure Orders Expanding (Positive Read-Through):</w:t>
      </w:r>
      <w:r>
        <w:rPr>
          <w:rFonts w:ascii="Calibri" w:hAnsi="Calibri"/>
          <w:color w:val="525866"/>
          <w:sz w:val="22"/>
        </w:rPr>
        <w:t xml:space="preserve"> DOV’s clean energy and fueling order book has “expanded meaningfully from cryogenic components used in LNG and space launch infrastructure.” OEM lead times for precision components for reciprocating compressors and gas turbines “now extend for years.” </w:t>
      </w:r>
      <w:r>
        <w:rPr>
          <w:rFonts w:ascii="Calibri" w:hAnsi="Calibri"/>
          <w:i/>
          <w:color w:val="525866"/>
          <w:sz w:val="22"/>
        </w:rPr>
        <w:t>Read-through:</w:t>
      </w:r>
      <w:r>
        <w:rPr>
          <w:rFonts w:ascii="Calibri" w:hAnsi="Calibri"/>
          <w:i/>
          <w:color w:val="525866"/>
          <w:sz w:val="22"/>
        </w:rPr>
        <w:t xml:space="preserve"> Directly corroborates EMR’s LNG FID momentum commentary from Q2; the multi-year LNG order runway is intact and extending, supporting EMR’s project funnel growth.</w:t>
      </w:r>
    </w:p>
    <w:p>
      <w:pPr>
        <w:pStyle w:val="ListBullet"/>
        <w:ind w:left="360" w:hanging="360"/>
      </w:pPr>
      <w:r>
        <w:rPr>
          <w:rFonts w:ascii="Calibri" w:hAnsi="Calibri"/>
          <w:b/>
          <w:color w:val="525866"/>
          <w:sz w:val="22"/>
        </w:rPr>
        <w:t>Biopharma &amp; Semiconductor Strength (Positive Read-Through):</w:t>
      </w:r>
      <w:r>
        <w:rPr>
          <w:rFonts w:ascii="Calibri" w:hAnsi="Calibri"/>
          <w:color w:val="525866"/>
          <w:sz w:val="22"/>
        </w:rPr>
        <w:t xml:space="preserve"> DOV’s single-use connectors, pumps, and flow meters continue to benefit from investment behind new therapies and secular shift toward single-use batch manufacturing. Semiconductor and electronics manufacturing exposure is delivering “robust growth” described as a “durable, multiyear investment cycle.” </w:t>
      </w:r>
      <w:r>
        <w:rPr>
          <w:rFonts w:ascii="Calibri" w:hAnsi="Calibri"/>
          <w:i/>
          <w:color w:val="525866"/>
          <w:sz w:val="22"/>
        </w:rPr>
        <w:t>Read-through:</w:t>
      </w:r>
      <w:r>
        <w:rPr>
          <w:rFonts w:ascii="Calibri" w:hAnsi="Calibri"/>
          <w:i/>
          <w:color w:val="525866"/>
          <w:sz w:val="22"/>
        </w:rPr>
        <w:t xml:space="preserve"> EMR’s life sciences (GLP-1 oral production, biopharma) and semiconductor (T&amp;M) verticals are exposed to the same tailwinds; DOV’s commentary supports EMR’s growth vertical thesis.</w:t>
      </w:r>
    </w:p>
    <w:p>
      <w:pPr>
        <w:pStyle w:val="ListBullet"/>
        <w:ind w:left="360" w:hanging="360"/>
      </w:pPr>
      <w:r>
        <w:rPr>
          <w:rFonts w:ascii="Calibri" w:hAnsi="Calibri"/>
          <w:b/>
          <w:color w:val="525866"/>
          <w:sz w:val="22"/>
        </w:rPr>
        <w:t>Visibility Into 2027 (Positive Read-Through):</w:t>
      </w:r>
      <w:r>
        <w:rPr>
          <w:rFonts w:ascii="Calibri" w:hAnsi="Calibri"/>
          <w:color w:val="525866"/>
          <w:sz w:val="22"/>
        </w:rPr>
        <w:t xml:space="preserve"> DOV management stated that “the cycles that we’re participating in clearly have visibility into 2027” and they “don’t see anybody going negative moving into 27.” Long-cycle orders are “definitely building the backlog out for 2027.” </w:t>
      </w:r>
      <w:r>
        <w:rPr>
          <w:rFonts w:ascii="Calibri" w:hAnsi="Calibri"/>
          <w:i/>
          <w:color w:val="525866"/>
          <w:sz w:val="22"/>
        </w:rPr>
        <w:t>Read-through:</w:t>
      </w:r>
      <w:r>
        <w:rPr>
          <w:rFonts w:ascii="Calibri" w:hAnsi="Calibri"/>
          <w:i/>
          <w:color w:val="525866"/>
          <w:sz w:val="22"/>
        </w:rPr>
        <w:t xml:space="preserve"> Supports EMR’s 2028 margin expansion roadmap and the durability of its growth vertical exposure; reduces the risk that the current cycle is a pull-forward.</w:t>
      </w:r>
    </w:p>
    <w:p>
      <w:pPr>
        <w:pStyle w:val="Heading3"/>
      </w:pPr>
      <w:r>
        <w:rPr>
          <w:rFonts w:ascii="Calibri" w:hAnsi="Calibri"/>
          <w:b/>
          <w:color w:val="3B4259"/>
          <w:sz w:val="24"/>
        </w:rPr>
        <w:t>8.3 Ingersoll Rand (IR) — Q2 2026 Earnings Call (July 30–31, 2026)</w:t>
      </w:r>
    </w:p>
    <w:p>
      <w:r>
        <w:rPr>
          <w:rFonts w:ascii="Calibri" w:hAnsi="Calibri"/>
          <w:b/>
          <w:color w:val="525866"/>
          <w:sz w:val="22"/>
        </w:rPr>
        <w:t>Relevance to EMR:</w:t>
      </w:r>
      <w:r>
        <w:rPr>
          <w:rFonts w:ascii="Calibri" w:hAnsi="Calibri"/>
          <w:color w:val="525866"/>
          <w:sz w:val="22"/>
        </w:rPr>
        <w:t xml:space="preserve"> IR overlaps with EMR in industrial automation, process equipment, life sciences, and geographic exposure (Americas, EMEA, China). IR’s commentary provides a more nuanced read — solid overall demand but with geographic and pricing headwinds that partially mirror EMR’s own challenges.</w:t>
      </w:r>
    </w:p>
    <w:p>
      <w:pPr>
        <w:pStyle w:val="ListBullet"/>
        <w:ind w:left="360" w:hanging="360"/>
      </w:pPr>
      <w:r>
        <w:rPr>
          <w:rFonts w:ascii="Calibri" w:hAnsi="Calibri"/>
          <w:b/>
          <w:color w:val="525866"/>
          <w:sz w:val="22"/>
        </w:rPr>
        <w:t>Strong July Order Inflection (Positive Read-Through):</w:t>
      </w:r>
      <w:r>
        <w:rPr>
          <w:rFonts w:ascii="Calibri" w:hAnsi="Calibri"/>
          <w:color w:val="525866"/>
          <w:sz w:val="22"/>
        </w:rPr>
        <w:t xml:space="preserve"> IR reported Q2 orders up 5% YoY (organic +2%), but noted a strong start to Q3 with double-digit order growth through the first four weeks of July, including organic growth of “low double-digit to mid-teens.” Long-cycle orders that were delayed in H1 are now being realized. </w:t>
      </w:r>
      <w:r>
        <w:rPr>
          <w:rFonts w:ascii="Calibri" w:hAnsi="Calibri"/>
          <w:i/>
          <w:color w:val="525866"/>
          <w:sz w:val="22"/>
        </w:rPr>
        <w:t>Read-through:</w:t>
      </w:r>
      <w:r>
        <w:rPr>
          <w:rFonts w:ascii="Calibri" w:hAnsi="Calibri"/>
          <w:i/>
          <w:color w:val="525866"/>
          <w:sz w:val="22"/>
        </w:rPr>
        <w:t xml:space="preserve"> The July order inflection is a positive leading indicator for EMR’s Q3 orders print; if EMR’s orders re-accelerate from Q2’s +5% toward high single digits, it would be the single biggest positive catalyst for the stock.</w:t>
      </w:r>
    </w:p>
    <w:p>
      <w:pPr>
        <w:pStyle w:val="ListBullet"/>
        <w:ind w:left="360" w:hanging="360"/>
      </w:pPr>
      <w:r>
        <w:rPr>
          <w:rFonts w:ascii="Calibri" w:hAnsi="Calibri"/>
          <w:b/>
          <w:color w:val="525866"/>
          <w:sz w:val="22"/>
        </w:rPr>
        <w:t>Americas Strongest Region; PowerGen &amp; Life Sciences Momentum (Positive Read-Through):</w:t>
      </w:r>
      <w:r>
        <w:rPr>
          <w:rFonts w:ascii="Calibri" w:hAnsi="Calibri"/>
          <w:color w:val="525866"/>
          <w:sz w:val="22"/>
        </w:rPr>
        <w:t xml:space="preserve"> IR’s Americas region (50% of revenue) showed orders up high single digits, with momentum in PowerGen electricity infrastructure and air separation for semiconductors. Life sciences delivered low double-digit organic order growth; biopharma (including GLP-1) continues to see low double-digit growth. </w:t>
      </w:r>
      <w:r>
        <w:rPr>
          <w:rFonts w:ascii="Calibri" w:hAnsi="Calibri"/>
          <w:i/>
          <w:color w:val="525866"/>
          <w:sz w:val="22"/>
        </w:rPr>
        <w:t>Read-through:</w:t>
      </w:r>
      <w:r>
        <w:rPr>
          <w:rFonts w:ascii="Calibri" w:hAnsi="Calibri"/>
          <w:i/>
          <w:color w:val="525866"/>
          <w:sz w:val="22"/>
        </w:rPr>
        <w:t xml:space="preserve"> Directly corroborates EMR’s North America strength narrative (US guided to grow high single digits for FY2026) and the life sciences/GLP-1 vertical momentum.</w:t>
      </w:r>
    </w:p>
    <w:p>
      <w:pPr>
        <w:pStyle w:val="ListBullet"/>
        <w:ind w:left="360" w:hanging="360"/>
      </w:pPr>
      <w:r>
        <w:rPr>
          <w:rFonts w:ascii="Calibri" w:hAnsi="Calibri"/>
          <w:b/>
          <w:color w:val="525866"/>
          <w:sz w:val="22"/>
        </w:rPr>
        <w:t>China Pricing Pressure Remains (Cautionary Read-Through):</w:t>
      </w:r>
      <w:r>
        <w:rPr>
          <w:rFonts w:ascii="Calibri" w:hAnsi="Calibri"/>
          <w:color w:val="525866"/>
          <w:sz w:val="22"/>
        </w:rPr>
        <w:t xml:space="preserve"> IR described China as “the most challenged market from a pricing perspective,” with margin pressure from “overcapacity that has happened over the past prior years of investing.” China organic revenue was up low double digits in Q2 but pricing remains challenged. </w:t>
      </w:r>
      <w:r>
        <w:rPr>
          <w:rFonts w:ascii="Calibri" w:hAnsi="Calibri"/>
          <w:i/>
          <w:color w:val="525866"/>
          <w:sz w:val="22"/>
        </w:rPr>
        <w:t>Read-through:</w:t>
      </w:r>
      <w:r>
        <w:rPr>
          <w:rFonts w:ascii="Calibri" w:hAnsi="Calibri"/>
          <w:i/>
          <w:color w:val="525866"/>
          <w:sz w:val="22"/>
        </w:rPr>
        <w:t xml:space="preserve"> EMR has already guided China to decline mid-single digits for FY2026 (primarily chemical sector exposure); IR’s commentary confirms the China pricing environment remains difficult, though EMR’s exposure is more to process automation than compressors.</w:t>
      </w:r>
    </w:p>
    <w:p>
      <w:pPr>
        <w:pStyle w:val="ListBullet"/>
        <w:ind w:left="360" w:hanging="360"/>
      </w:pPr>
      <w:r>
        <w:rPr>
          <w:rFonts w:ascii="Calibri" w:hAnsi="Calibri"/>
          <w:b/>
          <w:color w:val="525866"/>
          <w:sz w:val="22"/>
        </w:rPr>
        <w:t>Long-Cycle Project Delays in H1 (Cautionary Read-Through):</w:t>
      </w:r>
      <w:r>
        <w:rPr>
          <w:rFonts w:ascii="Calibri" w:hAnsi="Calibri"/>
          <w:color w:val="525866"/>
          <w:sz w:val="22"/>
        </w:rPr>
        <w:t xml:space="preserve"> IR noted that its Q2 book-to-bill of 1.0x was impacted by “delayed timing of several large project orders,” though these are now being realized in July. The delays were characterized as “more timing” rather than cancellations. </w:t>
      </w:r>
      <w:r>
        <w:rPr>
          <w:rFonts w:ascii="Calibri" w:hAnsi="Calibri"/>
          <w:i/>
          <w:color w:val="525866"/>
          <w:sz w:val="22"/>
        </w:rPr>
        <w:t>Read-through:</w:t>
      </w:r>
      <w:r>
        <w:rPr>
          <w:rFonts w:ascii="Calibri" w:hAnsi="Calibri"/>
          <w:i/>
          <w:color w:val="525866"/>
          <w:sz w:val="22"/>
        </w:rPr>
        <w:t xml:space="preserve"> EMR’s project funnel grew to $11.2B in Q2 but win rates and conversion timing are key variables; IR’s experience suggests project timing delays are industry-wide and not EMR-specific, reducing the risk of a negative surprise on project orders.</w:t>
      </w:r>
    </w:p>
    <w:p>
      <w:pPr>
        <w:pStyle w:val="ListBullet"/>
        <w:ind w:left="360" w:hanging="360"/>
      </w:pPr>
      <w:r>
        <w:rPr>
          <w:rFonts w:ascii="Calibri" w:hAnsi="Calibri"/>
          <w:b/>
          <w:color w:val="525866"/>
          <w:sz w:val="22"/>
        </w:rPr>
        <w:t>Full-Year Revenue Guidance Raised (Positive Read-Through):</w:t>
      </w:r>
      <w:r>
        <w:rPr>
          <w:rFonts w:ascii="Calibri" w:hAnsi="Calibri"/>
          <w:color w:val="525866"/>
          <w:sz w:val="22"/>
        </w:rPr>
        <w:t xml:space="preserve"> IR raised its full-year revenue guidance by 200 bps at the midpoint to 4.5%–6.5% growth, driven by organic volume and healthy demand in short-to-medium cycle business. Adjusted EPS expected to finish near the high end of the prior range. </w:t>
      </w:r>
      <w:r>
        <w:rPr>
          <w:rFonts w:ascii="Calibri" w:hAnsi="Calibri"/>
          <w:i/>
          <w:color w:val="525866"/>
          <w:sz w:val="22"/>
        </w:rPr>
        <w:t>Read-through:</w:t>
      </w:r>
      <w:r>
        <w:rPr>
          <w:rFonts w:ascii="Calibri" w:hAnsi="Calibri"/>
          <w:i/>
          <w:color w:val="525866"/>
          <w:sz w:val="22"/>
        </w:rPr>
        <w:t xml:space="preserve"> A peer raising full-year guidance in the same industrial automation space is a positive backdrop for EMR’s own guidance reaffirmation or potential raise at Q3.</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ETN (July 31)</w:t>
            </w:r>
          </w:p>
        </w:tc>
        <w:tc>
          <w:tcPr>
            <w:tcW w:type="dxa" w:w="1728"/>
            <w:shd w:val="clear" w:color="auto" w:fill="3B4259"/>
          </w:tcPr>
          <w:p>
            <w:r>
              <w:rPr>
                <w:rFonts w:ascii="Calibri" w:hAnsi="Calibri"/>
                <w:b/>
                <w:color w:val="FFFFFF"/>
                <w:sz w:val="22"/>
              </w:rPr>
              <w:t>DOV (July 23)</w:t>
            </w:r>
          </w:p>
        </w:tc>
        <w:tc>
          <w:tcPr>
            <w:tcW w:type="dxa" w:w="1728"/>
            <w:shd w:val="clear" w:color="auto" w:fill="3B4259"/>
          </w:tcPr>
          <w:p>
            <w:r>
              <w:rPr>
                <w:rFonts w:ascii="Calibri" w:hAnsi="Calibri"/>
                <w:b/>
                <w:color w:val="FFFFFF"/>
                <w:sz w:val="22"/>
              </w:rPr>
              <w:t>IR (July 30–31)</w:t>
            </w:r>
          </w:p>
        </w:tc>
        <w:tc>
          <w:tcPr>
            <w:tcW w:type="dxa" w:w="1728"/>
            <w:shd w:val="clear" w:color="auto" w:fill="3B4259"/>
          </w:tcPr>
          <w:p>
            <w:r>
              <w:rPr>
                <w:rFonts w:ascii="Calibri" w:hAnsi="Calibri"/>
                <w:b/>
                <w:color w:val="FFFFFF"/>
                <w:sz w:val="22"/>
              </w:rPr>
              <w:t>Net Read-Through for EMR Q3</w:t>
            </w:r>
          </w:p>
        </w:tc>
      </w:tr>
      <w:tr>
        <w:tc>
          <w:tcPr>
            <w:tcW w:type="dxa" w:w="1728"/>
          </w:tcPr>
          <w:p>
            <w:r>
              <w:rPr>
                <w:rFonts w:ascii="Calibri" w:hAnsi="Calibri"/>
                <w:sz w:val="22"/>
              </w:rPr>
              <w:t>Power / Data Center Demand</w:t>
            </w:r>
          </w:p>
        </w:tc>
        <w:tc>
          <w:tcPr>
            <w:tcW w:type="dxa" w:w="1728"/>
          </w:tcPr>
          <w:p>
            <w:r>
              <w:rPr>
                <w:rFonts w:ascii="Calibri" w:hAnsi="Calibri"/>
                <w:sz w:val="22"/>
              </w:rPr>
              <w:t>✅ Exceptional; data centers +65%; backlog 15 yrs</w:t>
            </w:r>
          </w:p>
        </w:tc>
        <w:tc>
          <w:tcPr>
            <w:tcW w:type="dxa" w:w="1728"/>
          </w:tcPr>
          <w:p>
            <w:r>
              <w:rPr>
                <w:rFonts w:ascii="Calibri" w:hAnsi="Calibri"/>
                <w:sz w:val="22"/>
              </w:rPr>
              <w:t>✅ Best quarter ever in heat exchangers; LNG lead times extend for years</w:t>
            </w:r>
          </w:p>
        </w:tc>
        <w:tc>
          <w:tcPr>
            <w:tcW w:type="dxa" w:w="1728"/>
          </w:tcPr>
          <w:p>
            <w:r>
              <w:rPr>
                <w:rFonts w:ascii="Calibri" w:hAnsi="Calibri"/>
                <w:sz w:val="22"/>
              </w:rPr>
              <w:t>✅ PowerGen momentum; data center infrastructure</w:t>
            </w:r>
          </w:p>
        </w:tc>
        <w:tc>
          <w:tcPr>
            <w:tcW w:type="dxa" w:w="1728"/>
          </w:tcPr>
          <w:p>
            <w:r>
              <w:rPr>
                <w:rFonts w:ascii="Calibri" w:hAnsi="Calibri"/>
                <w:b/>
                <w:color w:val="30A46C"/>
                <w:sz w:val="22"/>
              </w:rPr>
              <w:t>Strongly Positive</w:t>
            </w:r>
          </w:p>
        </w:tc>
      </w:tr>
      <w:tr>
        <w:tc>
          <w:tcPr>
            <w:tcW w:type="dxa" w:w="1728"/>
          </w:tcPr>
          <w:p>
            <w:r>
              <w:rPr>
                <w:rFonts w:ascii="Calibri" w:hAnsi="Calibri"/>
                <w:sz w:val="22"/>
              </w:rPr>
              <w:t>Orders Momentum</w:t>
            </w:r>
          </w:p>
        </w:tc>
        <w:tc>
          <w:tcPr>
            <w:tcW w:type="dxa" w:w="1728"/>
          </w:tcPr>
          <w:p>
            <w:r>
              <w:rPr>
                <w:rFonts w:ascii="Calibri" w:hAnsi="Calibri"/>
                <w:sz w:val="22"/>
              </w:rPr>
              <w:t>✅ Book-to-bill 1.2x; Americas 1.3x; orders +41% rolling 12M</w:t>
            </w:r>
          </w:p>
        </w:tc>
        <w:tc>
          <w:tcPr>
            <w:tcW w:type="dxa" w:w="1728"/>
          </w:tcPr>
          <w:p>
            <w:r>
              <w:rPr>
                <w:rFonts w:ascii="Calibri" w:hAnsi="Calibri"/>
                <w:sz w:val="22"/>
              </w:rPr>
              <w:t>✅ Orders +16% YoY; book-to-bill 1.06x; all segments positive</w:t>
            </w:r>
          </w:p>
        </w:tc>
        <w:tc>
          <w:tcPr>
            <w:tcW w:type="dxa" w:w="1728"/>
          </w:tcPr>
          <w:p>
            <w:r>
              <w:rPr>
                <w:rFonts w:ascii="Calibri" w:hAnsi="Calibri"/>
                <w:sz w:val="22"/>
              </w:rPr>
              <w:t>⚠️ Q2 book-to-bill 1.0x (project timing); July inflection to low-double-digit organic</w:t>
            </w:r>
          </w:p>
        </w:tc>
        <w:tc>
          <w:tcPr>
            <w:tcW w:type="dxa" w:w="1728"/>
          </w:tcPr>
          <w:p>
            <w:r>
              <w:rPr>
                <w:rFonts w:ascii="Calibri" w:hAnsi="Calibri"/>
                <w:b/>
                <w:color w:val="30A46C"/>
                <w:sz w:val="22"/>
              </w:rPr>
              <w:t>Positive (with timing caveat)</w:t>
            </w:r>
          </w:p>
        </w:tc>
      </w:tr>
      <w:tr>
        <w:tc>
          <w:tcPr>
            <w:tcW w:type="dxa" w:w="1728"/>
          </w:tcPr>
          <w:p>
            <w:r>
              <w:rPr>
                <w:rFonts w:ascii="Calibri" w:hAnsi="Calibri"/>
                <w:sz w:val="22"/>
              </w:rPr>
              <w:t>Semiconductor / Aerospace</w:t>
            </w:r>
          </w:p>
        </w:tc>
        <w:tc>
          <w:tcPr>
            <w:tcW w:type="dxa" w:w="1728"/>
          </w:tcPr>
          <w:p>
            <w:r>
              <w:rPr>
                <w:rFonts w:ascii="Calibri" w:hAnsi="Calibri"/>
                <w:sz w:val="22"/>
              </w:rPr>
              <w:t>✅ Aerospace record; semis via Boyd liquid cooling</w:t>
            </w:r>
          </w:p>
        </w:tc>
        <w:tc>
          <w:tcPr>
            <w:tcW w:type="dxa" w:w="1728"/>
          </w:tcPr>
          <w:p>
            <w:r>
              <w:rPr>
                <w:rFonts w:ascii="Calibri" w:hAnsi="Calibri"/>
                <w:sz w:val="22"/>
              </w:rPr>
              <w:t>✅ Semis “durable, multiyear cycle”; air separation for semis</w:t>
            </w:r>
          </w:p>
        </w:tc>
        <w:tc>
          <w:tcPr>
            <w:tcW w:type="dxa" w:w="1728"/>
          </w:tcPr>
          <w:p>
            <w:r>
              <w:rPr>
                <w:rFonts w:ascii="Calibri" w:hAnsi="Calibri"/>
                <w:sz w:val="22"/>
              </w:rPr>
              <w:t>✅ Air separation for semis; defense pickup expected</w:t>
            </w:r>
          </w:p>
        </w:tc>
        <w:tc>
          <w:tcPr>
            <w:tcW w:type="dxa" w:w="1728"/>
          </w:tcPr>
          <w:p>
            <w:r>
              <w:rPr>
                <w:rFonts w:ascii="Calibri" w:hAnsi="Calibri"/>
                <w:b/>
                <w:color w:val="30A46C"/>
                <w:sz w:val="22"/>
              </w:rPr>
              <w:t>Strongly Positive</w:t>
            </w:r>
          </w:p>
        </w:tc>
      </w:tr>
      <w:tr>
        <w:tc>
          <w:tcPr>
            <w:tcW w:type="dxa" w:w="1728"/>
          </w:tcPr>
          <w:p>
            <w:r>
              <w:rPr>
                <w:rFonts w:ascii="Calibri" w:hAnsi="Calibri"/>
                <w:sz w:val="22"/>
              </w:rPr>
              <w:t>Life Sciences / Biopharma</w:t>
            </w:r>
          </w:p>
        </w:tc>
        <w:tc>
          <w:tcPr>
            <w:tcW w:type="dxa" w:w="1728"/>
          </w:tcPr>
          <w:p>
            <w:r>
              <w:rPr>
                <w:rFonts w:ascii="Calibri" w:hAnsi="Calibri"/>
                <w:sz w:val="22"/>
              </w:rPr>
              <w:t>N/A</w:t>
            </w:r>
          </w:p>
        </w:tc>
        <w:tc>
          <w:tcPr>
            <w:tcW w:type="dxa" w:w="1728"/>
          </w:tcPr>
          <w:p>
            <w:r>
              <w:rPr>
                <w:rFonts w:ascii="Calibri" w:hAnsi="Calibri"/>
                <w:sz w:val="22"/>
              </w:rPr>
              <w:t>✅ Single-use biopharma; secular shift to single-use batch</w:t>
            </w:r>
          </w:p>
        </w:tc>
        <w:tc>
          <w:tcPr>
            <w:tcW w:type="dxa" w:w="1728"/>
          </w:tcPr>
          <w:p>
            <w:r>
              <w:rPr>
                <w:rFonts w:ascii="Calibri" w:hAnsi="Calibri"/>
                <w:sz w:val="22"/>
              </w:rPr>
              <w:t>✅ Biopharma low double-digit orders; GLP-1 very strong</w:t>
            </w:r>
          </w:p>
        </w:tc>
        <w:tc>
          <w:tcPr>
            <w:tcW w:type="dxa" w:w="1728"/>
          </w:tcPr>
          <w:p>
            <w:r>
              <w:rPr>
                <w:rFonts w:ascii="Calibri" w:hAnsi="Calibri"/>
                <w:b/>
                <w:color w:val="30A46C"/>
                <w:sz w:val="22"/>
              </w:rPr>
              <w:t>Positive</w:t>
            </w:r>
          </w:p>
        </w:tc>
      </w:tr>
      <w:tr>
        <w:tc>
          <w:tcPr>
            <w:tcW w:type="dxa" w:w="1728"/>
          </w:tcPr>
          <w:p>
            <w:r>
              <w:rPr>
                <w:rFonts w:ascii="Calibri" w:hAnsi="Calibri"/>
                <w:sz w:val="22"/>
              </w:rPr>
              <w:t>China</w:t>
            </w:r>
          </w:p>
        </w:tc>
        <w:tc>
          <w:tcPr>
            <w:tcW w:type="dxa" w:w="1728"/>
          </w:tcPr>
          <w:p>
            <w:r>
              <w:rPr>
                <w:rFonts w:ascii="Calibri" w:hAnsi="Calibri"/>
                <w:sz w:val="22"/>
              </w:rPr>
              <w:t>✅ APAC +20% organic (ETN less China-exposed)</w:t>
            </w:r>
          </w:p>
        </w:tc>
        <w:tc>
          <w:tcPr>
            <w:tcW w:type="dxa" w:w="1728"/>
          </w:tcPr>
          <w:p>
            <w:r>
              <w:rPr>
                <w:rFonts w:ascii="Calibri" w:hAnsi="Calibri"/>
                <w:sz w:val="22"/>
              </w:rPr>
              <w:t>N/A (limited China commentary)</w:t>
            </w:r>
          </w:p>
        </w:tc>
        <w:tc>
          <w:tcPr>
            <w:tcW w:type="dxa" w:w="1728"/>
          </w:tcPr>
          <w:p>
            <w:r>
              <w:rPr>
                <w:rFonts w:ascii="Calibri" w:hAnsi="Calibri"/>
                <w:sz w:val="22"/>
              </w:rPr>
              <w:t>⚠️ Most challenged market on pricing; overcapacity persists</w:t>
            </w:r>
          </w:p>
        </w:tc>
        <w:tc>
          <w:tcPr>
            <w:tcW w:type="dxa" w:w="1728"/>
          </w:tcPr>
          <w:p>
            <w:r>
              <w:rPr>
                <w:rFonts w:ascii="Calibri" w:hAnsi="Calibri"/>
                <w:b/>
                <w:color w:val="E5484D"/>
                <w:sz w:val="22"/>
              </w:rPr>
              <w:t>Cautionary (consistent with EMR guide)</w:t>
            </w:r>
          </w:p>
        </w:tc>
      </w:tr>
      <w:tr>
        <w:tc>
          <w:tcPr>
            <w:tcW w:type="dxa" w:w="1728"/>
          </w:tcPr>
          <w:p>
            <w:r>
              <w:rPr>
                <w:rFonts w:ascii="Calibri" w:hAnsi="Calibri"/>
                <w:sz w:val="22"/>
              </w:rPr>
              <w:t>Margins / Price-Cost</w:t>
            </w:r>
          </w:p>
        </w:tc>
        <w:tc>
          <w:tcPr>
            <w:tcW w:type="dxa" w:w="1728"/>
          </w:tcPr>
          <w:p>
            <w:r>
              <w:rPr>
                <w:rFonts w:ascii="Calibri" w:hAnsi="Calibri"/>
                <w:sz w:val="22"/>
              </w:rPr>
              <w:t>✅ Americas margins +190 bps QoQ; pricing actions in Q2/early Q3</w:t>
            </w:r>
          </w:p>
        </w:tc>
        <w:tc>
          <w:tcPr>
            <w:tcW w:type="dxa" w:w="1728"/>
          </w:tcPr>
          <w:p>
            <w:r>
              <w:rPr>
                <w:rFonts w:ascii="Calibri" w:hAnsi="Calibri"/>
                <w:sz w:val="22"/>
              </w:rPr>
              <w:t>✅ Broad-based margin expansion; secular demand supports pricing</w:t>
            </w:r>
          </w:p>
        </w:tc>
        <w:tc>
          <w:tcPr>
            <w:tcW w:type="dxa" w:w="1728"/>
          </w:tcPr>
          <w:p>
            <w:r>
              <w:rPr>
                <w:rFonts w:ascii="Calibri" w:hAnsi="Calibri"/>
                <w:sz w:val="22"/>
              </w:rPr>
              <w:t>⚠️ China pricing challenged; H2 margin ramp from H1 pricing actions</w:t>
            </w:r>
          </w:p>
        </w:tc>
        <w:tc>
          <w:tcPr>
            <w:tcW w:type="dxa" w:w="1728"/>
          </w:tcPr>
          <w:p>
            <w:r>
              <w:rPr>
                <w:rFonts w:ascii="Calibri" w:hAnsi="Calibri"/>
                <w:b/>
                <w:color w:val="30A46C"/>
                <w:sz w:val="22"/>
              </w:rPr>
              <w:t>Broadly Positive</w:t>
            </w:r>
          </w:p>
        </w:tc>
      </w:tr>
      <w:tr>
        <w:tc>
          <w:tcPr>
            <w:tcW w:type="dxa" w:w="1728"/>
          </w:tcPr>
          <w:p>
            <w:r>
              <w:rPr>
                <w:rFonts w:ascii="Calibri" w:hAnsi="Calibri"/>
                <w:sz w:val="22"/>
              </w:rPr>
              <w:t>2027 Visibility</w:t>
            </w:r>
          </w:p>
        </w:tc>
        <w:tc>
          <w:tcPr>
            <w:tcW w:type="dxa" w:w="1728"/>
          </w:tcPr>
          <w:p>
            <w:r>
              <w:rPr>
                <w:rFonts w:ascii="Calibri" w:hAnsi="Calibri"/>
                <w:sz w:val="22"/>
              </w:rPr>
              <w:t>✅ Committed to 32% margin by 2030; backlog extends to 2028+</w:t>
            </w:r>
          </w:p>
        </w:tc>
        <w:tc>
          <w:tcPr>
            <w:tcW w:type="dxa" w:w="1728"/>
          </w:tcPr>
          <w:p>
            <w:r>
              <w:rPr>
                <w:rFonts w:ascii="Calibri" w:hAnsi="Calibri"/>
                <w:sz w:val="22"/>
              </w:rPr>
              <w:t>✅ “Don’t see anybody going negative into 27”; long-cycle building 2027 backlog</w:t>
            </w:r>
          </w:p>
        </w:tc>
        <w:tc>
          <w:tcPr>
            <w:tcW w:type="dxa" w:w="1728"/>
          </w:tcPr>
          <w:p>
            <w:r>
              <w:rPr>
                <w:rFonts w:ascii="Calibri" w:hAnsi="Calibri"/>
                <w:sz w:val="22"/>
              </w:rPr>
              <w:t>✅ Long-cycle funnel healthy; 6–18 month project duration</w:t>
            </w:r>
          </w:p>
        </w:tc>
        <w:tc>
          <w:tcPr>
            <w:tcW w:type="dxa" w:w="1728"/>
          </w:tcPr>
          <w:p>
            <w:r>
              <w:rPr>
                <w:rFonts w:ascii="Calibri" w:hAnsi="Calibri"/>
                <w:b/>
                <w:color w:val="30A46C"/>
                <w:sz w:val="22"/>
              </w:rPr>
              <w:t>Positive</w:t>
            </w:r>
          </w:p>
        </w:tc>
      </w:tr>
    </w:tbl>
    <w:p>
      <w:r>
        <w:rPr>
          <w:rFonts w:ascii="Calibri" w:hAnsi="Calibri"/>
          <w:i/>
          <w:color w:val="525866"/>
          <w:sz w:val="22"/>
        </w:rPr>
        <w:t>Sources: ETN Q2 2026 Earnings Call Transcript (July 31, 2026); DOV Q2 2026 Earnings Call Transcript (July 23, 2026); IR Q2 2026 Earnings Call Transcript (July 30–31,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