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EOG Resources (EOG) — 2Q26 Earnings Call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EOG Resources, Inc.</w:t>
            </w:r>
          </w:p>
        </w:tc>
      </w:tr>
      <w:tr>
        <w:tc>
          <w:tcPr>
            <w:tcW w:type="dxa" w:w="4320"/>
          </w:tcPr>
          <w:p>
            <w:r>
              <w:rPr>
                <w:rFonts w:ascii="Calibri" w:hAnsi="Calibri"/>
                <w:b/>
                <w:sz w:val="22"/>
              </w:rPr>
              <w:t>Ticker</w:t>
            </w:r>
          </w:p>
        </w:tc>
        <w:tc>
          <w:tcPr>
            <w:tcW w:type="dxa" w:w="4320"/>
          </w:tcPr>
          <w:p>
            <w:r>
              <w:rPr>
                <w:rFonts w:ascii="Calibri" w:hAnsi="Calibri"/>
                <w:sz w:val="22"/>
              </w:rPr>
              <w:t>EOG US</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Results Released</w:t>
            </w:r>
          </w:p>
        </w:tc>
        <w:tc>
          <w:tcPr>
            <w:tcW w:type="dxa" w:w="4320"/>
          </w:tcPr>
          <w:p>
            <w:r>
              <w:rPr>
                <w:rFonts w:ascii="Calibri" w:hAnsi="Calibri"/>
                <w:sz w:val="22"/>
              </w:rPr>
              <w:t>August 4, 2026 (pre-market)</w:t>
            </w:r>
          </w:p>
        </w:tc>
      </w:tr>
      <w:tr>
        <w:tc>
          <w:tcPr>
            <w:tcW w:type="dxa" w:w="4320"/>
          </w:tcPr>
          <w:p>
            <w:r>
              <w:rPr>
                <w:rFonts w:ascii="Calibri" w:hAnsi="Calibri"/>
                <w:b/>
                <w:sz w:val="22"/>
              </w:rPr>
              <w:t>Earnings Call</w:t>
            </w:r>
          </w:p>
        </w:tc>
        <w:tc>
          <w:tcPr>
            <w:tcW w:type="dxa" w:w="4320"/>
          </w:tcPr>
          <w:p>
            <w:r>
              <w:rPr>
                <w:rFonts w:ascii="Calibri" w:hAnsi="Calibri"/>
                <w:sz w:val="22"/>
              </w:rPr>
              <w:t>August 5, 2026 — 10:00 AM ET</w:t>
            </w:r>
          </w:p>
        </w:tc>
      </w:tr>
      <w:tr>
        <w:tc>
          <w:tcPr>
            <w:tcW w:type="dxa" w:w="4320"/>
          </w:tcPr>
          <w:p>
            <w:r>
              <w:rPr>
                <w:rFonts w:ascii="Calibri" w:hAnsi="Calibri"/>
                <w:b/>
                <w:sz w:val="22"/>
              </w:rPr>
              <w:t>Document Prepared</w:t>
            </w:r>
          </w:p>
        </w:tc>
        <w:tc>
          <w:tcPr>
            <w:tcW w:type="dxa" w:w="4320"/>
          </w:tcPr>
          <w:p>
            <w:r>
              <w:rPr>
                <w:rFonts w:ascii="Calibri" w:hAnsi="Calibri"/>
                <w:sz w:val="22"/>
              </w:rPr>
              <w:t>August 4, 2026</w:t>
            </w:r>
          </w:p>
        </w:tc>
      </w:tr>
      <w:tr>
        <w:tc>
          <w:tcPr>
            <w:tcW w:type="dxa" w:w="4320"/>
          </w:tcPr>
          <w:p>
            <w:r>
              <w:rPr>
                <w:rFonts w:ascii="Calibri" w:hAnsi="Calibri"/>
                <w:b/>
                <w:sz w:val="22"/>
              </w:rPr>
              <w:t>Sector / Sub-Sector</w:t>
            </w:r>
          </w:p>
        </w:tc>
        <w:tc>
          <w:tcPr>
            <w:tcW w:type="dxa" w:w="4320"/>
          </w:tcPr>
          <w:p>
            <w:r>
              <w:rPr>
                <w:rFonts w:ascii="Calibri" w:hAnsi="Calibri"/>
                <w:sz w:val="22"/>
              </w:rPr>
              <w:t>Energy — Independent E&amp;P</w:t>
            </w:r>
          </w:p>
        </w:tc>
      </w:tr>
    </w:tbl>
    <w:p>
      <w:r>
        <w:rPr>
          <w:rFonts w:ascii="Calibri" w:hAnsi="Calibri"/>
          <w:b/>
          <w:color w:val="525866"/>
          <w:sz w:val="22"/>
        </w:rPr>
        <w:t xml:space="preserve">⚑  CALL PREVIEW NOTE: </w:t>
      </w:r>
      <w:r>
        <w:rPr>
          <w:rFonts w:ascii="Calibri" w:hAnsi="Calibri"/>
          <w:color w:val="525866"/>
          <w:sz w:val="22"/>
        </w:rPr>
        <w:t xml:space="preserve">EOG released its 2Q26 financial results on </w:t>
      </w:r>
      <w:r>
        <w:rPr>
          <w:rFonts w:ascii="Calibri" w:hAnsi="Calibri"/>
          <w:b/>
          <w:color w:val="525866"/>
          <w:sz w:val="22"/>
        </w:rPr>
        <w:t>August 4, 2026</w:t>
      </w:r>
      <w:r>
        <w:rPr>
          <w:rFonts w:ascii="Calibri" w:hAnsi="Calibri"/>
          <w:color w:val="525866"/>
          <w:sz w:val="22"/>
        </w:rPr>
        <w:t xml:space="preserve"> before market open. The earnings conference call is scheduled for </w:t>
      </w:r>
      <w:r>
        <w:rPr>
          <w:rFonts w:ascii="Calibri" w:hAnsi="Calibri"/>
          <w:b/>
          <w:color w:val="525866"/>
          <w:sz w:val="22"/>
        </w:rPr>
        <w:t>August 5, 2026 at 10:00 AM ET</w:t>
      </w:r>
      <w:r>
        <w:rPr>
          <w:rFonts w:ascii="Calibri" w:hAnsi="Calibri"/>
          <w:color w:val="525866"/>
          <w:sz w:val="22"/>
        </w:rPr>
        <w:t>. This document is designed as a pre-call briefing — results are now in hand; the call is the next catalyst. Focus areas are management's tone on the oil macro, Dorado gas strategy, UAE/Bahrain international update, capital return cadence, and 2H 2026 / 2027 outlook.</w:t>
      </w:r>
    </w:p>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EOG delivered a </w:t>
      </w:r>
      <w:r>
        <w:rPr>
          <w:rFonts w:ascii="Calibri" w:hAnsi="Calibri"/>
          <w:b/>
          <w:color w:val="525866"/>
          <w:sz w:val="22"/>
        </w:rPr>
        <w:t>record quarter</w:t>
      </w:r>
      <w:r>
        <w:rPr>
          <w:rFonts w:ascii="Calibri" w:hAnsi="Calibri"/>
          <w:color w:val="525866"/>
          <w:sz w:val="22"/>
        </w:rPr>
        <w:t xml:space="preserve"> — adjusted EPS of $5.07, net income of $2.72B, and free cash flow of $2.8B — all well ahead of consensus, with the </w:t>
      </w:r>
      <w:r>
        <w:rPr>
          <w:rFonts w:ascii="Calibri" w:hAnsi="Calibri"/>
          <w:b/>
          <w:color w:val="525866"/>
          <w:sz w:val="22"/>
        </w:rPr>
        <w:t>UAE initial production test</w:t>
      </w:r>
      <w:r>
        <w:rPr>
          <w:rFonts w:ascii="Calibri" w:hAnsi="Calibri"/>
          <w:color w:val="525866"/>
          <w:sz w:val="22"/>
        </w:rPr>
        <w:t xml:space="preserve"> (25,000+ cumulative barrels per well in 30 days) as the standout surprise; the call will be about what comes next on capital return, 2027 activity, and Hormuz resolution.</w:t>
      </w:r>
    </w:p>
    <w:p>
      <w:r>
        <w:rPr>
          <w:rFonts w:ascii="Calibri" w:hAnsi="Calibri"/>
          <w:color w:val="525866"/>
          <w:sz w:val="22"/>
        </w:rPr>
        <w:t xml:space="preserve">EOG's 2Q26 print was unambiguously strong across every financial and operational dimension. Adjusted net income of </w:t>
      </w:r>
      <w:r>
        <w:rPr>
          <w:rFonts w:ascii="Calibri" w:hAnsi="Calibri"/>
          <w:b/>
          <w:color w:val="525866"/>
          <w:sz w:val="22"/>
        </w:rPr>
        <w:t>$2.68 billion ($5.07/share)</w:t>
      </w:r>
      <w:r>
        <w:rPr>
          <w:rFonts w:ascii="Calibri" w:hAnsi="Calibri"/>
          <w:color w:val="525866"/>
          <w:sz w:val="22"/>
        </w:rPr>
        <w:t xml:space="preserve"> and free cash flow of </w:t>
      </w:r>
      <w:r>
        <w:rPr>
          <w:rFonts w:ascii="Calibri" w:hAnsi="Calibri"/>
          <w:b/>
          <w:color w:val="525866"/>
          <w:sz w:val="22"/>
        </w:rPr>
        <w:t>$2.8 billion</w:t>
      </w:r>
      <w:r>
        <w:rPr>
          <w:rFonts w:ascii="Calibri" w:hAnsi="Calibri"/>
          <w:color w:val="525866"/>
          <w:sz w:val="22"/>
        </w:rPr>
        <w:t xml:space="preserve"> were both records, driven by Brent crude averaging ~$89.62/barrel in the quarter — up ~19% year-over-year — as the U.S.-Iran conflict disrupted Strait of Hormuz flows and tightened global supply. Oil production of </w:t>
      </w:r>
      <w:r>
        <w:rPr>
          <w:rFonts w:ascii="Calibri" w:hAnsi="Calibri"/>
          <w:b/>
          <w:color w:val="525866"/>
          <w:sz w:val="22"/>
        </w:rPr>
        <w:t>548.8 MBod</w:t>
      </w:r>
      <w:r>
        <w:rPr>
          <w:rFonts w:ascii="Calibri" w:hAnsi="Calibri"/>
          <w:color w:val="525866"/>
          <w:sz w:val="22"/>
        </w:rPr>
        <w:t xml:space="preserve"> came in at the high end of guidance, and per-unit cash operating costs of </w:t>
      </w:r>
      <w:r>
        <w:rPr>
          <w:rFonts w:ascii="Calibri" w:hAnsi="Calibri"/>
          <w:b/>
          <w:color w:val="525866"/>
          <w:sz w:val="22"/>
        </w:rPr>
        <w:t>$10.57/Boe</w:t>
      </w:r>
      <w:r>
        <w:rPr>
          <w:rFonts w:ascii="Calibri" w:hAnsi="Calibri"/>
          <w:color w:val="525866"/>
          <w:sz w:val="22"/>
        </w:rPr>
        <w:t xml:space="preserve"> beat the guidance midpoint, consistent with EOG’s multi-year track record of cost outperformance. The company returned </w:t>
      </w:r>
      <w:r>
        <w:rPr>
          <w:rFonts w:ascii="Calibri" w:hAnsi="Calibri"/>
          <w:b/>
          <w:color w:val="525866"/>
          <w:sz w:val="22"/>
        </w:rPr>
        <w:t>$1.8 billion to shareholders</w:t>
      </w:r>
      <w:r>
        <w:rPr>
          <w:rFonts w:ascii="Calibri" w:hAnsi="Calibri"/>
          <w:color w:val="525866"/>
          <w:sz w:val="22"/>
        </w:rPr>
        <w:t xml:space="preserve"> in the quarter ($540M dividend + $1.3B buyback) and raised full-year guidance to </w:t>
      </w:r>
      <w:r>
        <w:rPr>
          <w:rFonts w:ascii="Calibri" w:hAnsi="Calibri"/>
          <w:b/>
          <w:color w:val="525866"/>
          <w:sz w:val="22"/>
        </w:rPr>
        <w:t>5% oil production growth and 14% total production growth</w:t>
      </w:r>
      <w:r>
        <w:rPr>
          <w:rFonts w:ascii="Calibri" w:hAnsi="Calibri"/>
          <w:color w:val="525866"/>
          <w:sz w:val="22"/>
        </w:rPr>
        <w:t xml:space="preserve"> while holding CapEx flat at $6.5B midpoint. The single biggest surprise was the </w:t>
      </w:r>
      <w:r>
        <w:rPr>
          <w:rFonts w:ascii="Calibri" w:hAnsi="Calibri"/>
          <w:b/>
          <w:color w:val="525866"/>
          <w:sz w:val="22"/>
        </w:rPr>
        <w:t>UAE initial production test</w:t>
      </w:r>
      <w:r>
        <w:rPr>
          <w:rFonts w:ascii="Calibri" w:hAnsi="Calibri"/>
          <w:color w:val="525866"/>
          <w:sz w:val="22"/>
        </w:rPr>
        <w:t xml:space="preserve"> — two one-mile lateral wells averaging over 25,000 barrels of cumulative oil production per well in the first 30 days — validating the international exploration thesis years ahead of what the market had priced. The call on August 5 will center on: (1) management’s read on Hormuz reopening dynamics and the oil price floor, (2) whether the UAE result accelerates international capital allocation, (3) the pace of buybacks given $11.7B remaining authorization, and (4) any early signals on 2027 activity levels. The </w:t>
      </w:r>
      <w:r>
        <w:rPr>
          <w:rFonts w:ascii="Calibri" w:hAnsi="Calibri"/>
          <w:b/>
          <w:color w:val="525866"/>
          <w:sz w:val="22"/>
        </w:rPr>
        <w:t>wildcard</w:t>
      </w:r>
      <w:r>
        <w:rPr>
          <w:rFonts w:ascii="Calibri" w:hAnsi="Calibri"/>
          <w:color w:val="525866"/>
          <w:sz w:val="22"/>
        </w:rPr>
        <w:t xml:space="preserve"> is the Hormuz deal-in-progress — Iran and Oman are reportedly working toward a reopening agreement as of August 4, which could reset the oil price narrative mid-call.</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EOG beat consensus on every major KPI in 2Q26. Adjusted EPS of $5.07 came in well above the pre-release consensus of ~$4.98, oil volumes of 548.8 MBod exceeded the ~549 MBod estimate, and free cash flow of $2.8B surpassed the ~$2.6B consensus. The bar was already elevated heading into the print; the question for the call is whether management raises the ceiling further for 2H.</w:t>
      </w:r>
    </w:p>
    <w:p>
      <w:pPr>
        <w:pStyle w:val="Heading2"/>
      </w:pPr>
      <w:r>
        <w:rPr>
          <w:rFonts w:ascii="Calibri" w:hAnsi="Calibri"/>
          <w:b/>
          <w:color w:val="3B4259"/>
          <w:sz w:val="28"/>
        </w:rPr>
        <w:t>Table 1 — 2Q26 KPI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1Q26 Actual</w:t>
            </w:r>
          </w:p>
        </w:tc>
        <w:tc>
          <w:tcPr>
            <w:tcW w:type="dxa" w:w="1234"/>
            <w:shd w:val="clear" w:color="auto" w:fill="3B4259"/>
          </w:tcPr>
          <w:p>
            <w:r>
              <w:rPr>
                <w:rFonts w:ascii="Calibri" w:hAnsi="Calibri"/>
                <w:b/>
                <w:color w:val="FFFFFF"/>
                <w:sz w:val="22"/>
              </w:rPr>
              <w:t>2Q25 Actual</w:t>
            </w:r>
          </w:p>
        </w:tc>
        <w:tc>
          <w:tcPr>
            <w:tcW w:type="dxa" w:w="1234"/>
            <w:shd w:val="clear" w:color="auto" w:fill="3B4259"/>
          </w:tcPr>
          <w:p>
            <w:r>
              <w:rPr>
                <w:rFonts w:ascii="Calibri" w:hAnsi="Calibri"/>
                <w:b/>
                <w:color w:val="FFFFFF"/>
                <w:sz w:val="22"/>
              </w:rPr>
              <w:t>2Q26 Consensus (Pre-Release)</w:t>
            </w:r>
          </w:p>
        </w:tc>
        <w:tc>
          <w:tcPr>
            <w:tcW w:type="dxa" w:w="1234"/>
            <w:shd w:val="clear" w:color="auto" w:fill="3B4259"/>
          </w:tcPr>
          <w:p>
            <w:r>
              <w:rPr>
                <w:rFonts w:ascii="Calibri" w:hAnsi="Calibri"/>
                <w:b/>
                <w:color w:val="FFFFFF"/>
                <w:sz w:val="22"/>
              </w:rPr>
              <w:t>2Q26 Reported</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Beat / Miss</w:t>
            </w:r>
          </w:p>
        </w:tc>
      </w:tr>
      <w:tr>
        <w:tc>
          <w:tcPr>
            <w:tcW w:type="dxa" w:w="1234"/>
          </w:tcPr>
          <w:p>
            <w:r>
              <w:rPr>
                <w:rFonts w:ascii="Calibri" w:hAnsi="Calibri"/>
                <w:sz w:val="22"/>
              </w:rPr>
              <w:t>Adj. EPS — Diluted ($)</w:t>
            </w:r>
          </w:p>
        </w:tc>
        <w:tc>
          <w:tcPr>
            <w:tcW w:type="dxa" w:w="1234"/>
          </w:tcPr>
          <w:p>
            <w:r>
              <w:rPr>
                <w:rFonts w:ascii="Calibri" w:hAnsi="Calibri"/>
                <w:sz w:val="22"/>
              </w:rPr>
              <w:t>$3.41</w:t>
            </w:r>
          </w:p>
        </w:tc>
        <w:tc>
          <w:tcPr>
            <w:tcW w:type="dxa" w:w="1234"/>
          </w:tcPr>
          <w:p>
            <w:r>
              <w:rPr>
                <w:rFonts w:ascii="Calibri" w:hAnsi="Calibri"/>
                <w:sz w:val="22"/>
              </w:rPr>
              <w:t>$2.32</w:t>
            </w:r>
          </w:p>
        </w:tc>
        <w:tc>
          <w:tcPr>
            <w:tcW w:type="dxa" w:w="1234"/>
          </w:tcPr>
          <w:p>
            <w:r>
              <w:rPr>
                <w:rFonts w:ascii="Calibri" w:hAnsi="Calibri"/>
                <w:sz w:val="22"/>
              </w:rPr>
              <w:t>~$4.98</w:t>
            </w:r>
          </w:p>
        </w:tc>
        <w:tc>
          <w:tcPr>
            <w:tcW w:type="dxa" w:w="1234"/>
          </w:tcPr>
          <w:p>
            <w:r>
              <w:rPr>
                <w:rFonts w:ascii="Calibri" w:hAnsi="Calibri"/>
                <w:b/>
                <w:sz w:val="22"/>
              </w:rPr>
              <w:t>$5.07</w:t>
            </w:r>
          </w:p>
        </w:tc>
        <w:tc>
          <w:tcPr>
            <w:tcW w:type="dxa" w:w="1234"/>
          </w:tcPr>
          <w:p>
            <w:r>
              <w:rPr>
                <w:rFonts w:ascii="Calibri" w:hAnsi="Calibri"/>
                <w:b/>
                <w:color w:val="30A46C"/>
                <w:sz w:val="22"/>
              </w:rPr>
              <w:t>+118%</w:t>
            </w:r>
          </w:p>
        </w:tc>
        <w:tc>
          <w:tcPr>
            <w:tcW w:type="dxa" w:w="1234"/>
          </w:tcPr>
          <w:p>
            <w:r>
              <w:rPr>
                <w:rFonts w:ascii="Calibri" w:hAnsi="Calibri"/>
                <w:b/>
                <w:color w:val="30A46C"/>
                <w:sz w:val="22"/>
              </w:rPr>
              <w:t>Beat</w:t>
            </w:r>
          </w:p>
        </w:tc>
      </w:tr>
      <w:tr>
        <w:tc>
          <w:tcPr>
            <w:tcW w:type="dxa" w:w="1234"/>
          </w:tcPr>
          <w:p>
            <w:r>
              <w:rPr>
                <w:rFonts w:ascii="Calibri" w:hAnsi="Calibri"/>
                <w:sz w:val="22"/>
              </w:rPr>
              <w:t>Total Oil Production (MBod)</w:t>
            </w:r>
          </w:p>
        </w:tc>
        <w:tc>
          <w:tcPr>
            <w:tcW w:type="dxa" w:w="1234"/>
          </w:tcPr>
          <w:p>
            <w:r>
              <w:rPr>
                <w:rFonts w:ascii="Calibri" w:hAnsi="Calibri"/>
                <w:sz w:val="22"/>
              </w:rPr>
              <w:t>548.5</w:t>
            </w:r>
          </w:p>
        </w:tc>
        <w:tc>
          <w:tcPr>
            <w:tcW w:type="dxa" w:w="1234"/>
          </w:tcPr>
          <w:p>
            <w:r>
              <w:rPr>
                <w:rFonts w:ascii="Calibri" w:hAnsi="Calibri"/>
                <w:sz w:val="22"/>
              </w:rPr>
              <w:t>504.2</w:t>
            </w:r>
          </w:p>
        </w:tc>
        <w:tc>
          <w:tcPr>
            <w:tcW w:type="dxa" w:w="1234"/>
          </w:tcPr>
          <w:p>
            <w:r>
              <w:rPr>
                <w:rFonts w:ascii="Calibri" w:hAnsi="Calibri"/>
                <w:sz w:val="22"/>
              </w:rPr>
              <w:t>~549.1</w:t>
            </w:r>
          </w:p>
        </w:tc>
        <w:tc>
          <w:tcPr>
            <w:tcW w:type="dxa" w:w="1234"/>
          </w:tcPr>
          <w:p>
            <w:r>
              <w:rPr>
                <w:rFonts w:ascii="Calibri" w:hAnsi="Calibri"/>
                <w:b/>
                <w:sz w:val="22"/>
              </w:rPr>
              <w:t>548.8</w:t>
            </w:r>
          </w:p>
        </w:tc>
        <w:tc>
          <w:tcPr>
            <w:tcW w:type="dxa" w:w="1234"/>
          </w:tcPr>
          <w:p>
            <w:r>
              <w:rPr>
                <w:rFonts w:ascii="Calibri" w:hAnsi="Calibri"/>
                <w:b/>
                <w:color w:val="30A46C"/>
                <w:sz w:val="22"/>
              </w:rPr>
              <w:t>+8.8%</w:t>
            </w:r>
          </w:p>
        </w:tc>
        <w:tc>
          <w:tcPr>
            <w:tcW w:type="dxa" w:w="1234"/>
          </w:tcPr>
          <w:p>
            <w:r>
              <w:rPr>
                <w:rFonts w:ascii="Calibri" w:hAnsi="Calibri"/>
                <w:sz w:val="22"/>
              </w:rPr>
              <w:t>In-line / slight miss</w:t>
            </w:r>
          </w:p>
        </w:tc>
      </w:tr>
      <w:tr>
        <w:tc>
          <w:tcPr>
            <w:tcW w:type="dxa" w:w="1234"/>
          </w:tcPr>
          <w:p>
            <w:r>
              <w:rPr>
                <w:rFonts w:ascii="Calibri" w:hAnsi="Calibri"/>
                <w:sz w:val="22"/>
              </w:rPr>
              <w:t>Total Production (MBoed)</w:t>
            </w:r>
          </w:p>
        </w:tc>
        <w:tc>
          <w:tcPr>
            <w:tcW w:type="dxa" w:w="1234"/>
          </w:tcPr>
          <w:p>
            <w:r>
              <w:rPr>
                <w:rFonts w:ascii="Calibri" w:hAnsi="Calibri"/>
                <w:sz w:val="22"/>
              </w:rPr>
              <w:t>1,383.9</w:t>
            </w:r>
          </w:p>
        </w:tc>
        <w:tc>
          <w:tcPr>
            <w:tcW w:type="dxa" w:w="1234"/>
          </w:tcPr>
          <w:p>
            <w:r>
              <w:rPr>
                <w:rFonts w:ascii="Calibri" w:hAnsi="Calibri"/>
                <w:sz w:val="22"/>
              </w:rPr>
              <w:t>1,134.1</w:t>
            </w:r>
          </w:p>
        </w:tc>
        <w:tc>
          <w:tcPr>
            <w:tcW w:type="dxa" w:w="1234"/>
          </w:tcPr>
          <w:p>
            <w:r>
              <w:rPr>
                <w:rFonts w:ascii="Calibri" w:hAnsi="Calibri"/>
                <w:sz w:val="22"/>
              </w:rPr>
              <w:t>~1,394.0</w:t>
            </w:r>
          </w:p>
        </w:tc>
        <w:tc>
          <w:tcPr>
            <w:tcW w:type="dxa" w:w="1234"/>
          </w:tcPr>
          <w:p>
            <w:r>
              <w:rPr>
                <w:rFonts w:ascii="Calibri" w:hAnsi="Calibri"/>
                <w:b/>
                <w:sz w:val="22"/>
              </w:rPr>
              <w:t>1,410.4</w:t>
            </w:r>
          </w:p>
        </w:tc>
        <w:tc>
          <w:tcPr>
            <w:tcW w:type="dxa" w:w="1234"/>
          </w:tcPr>
          <w:p>
            <w:r>
              <w:rPr>
                <w:rFonts w:ascii="Calibri" w:hAnsi="Calibri"/>
                <w:b/>
                <w:color w:val="30A46C"/>
                <w:sz w:val="22"/>
              </w:rPr>
              <w:t>+24.4%</w:t>
            </w:r>
          </w:p>
        </w:tc>
        <w:tc>
          <w:tcPr>
            <w:tcW w:type="dxa" w:w="1234"/>
          </w:tcPr>
          <w:p>
            <w:r>
              <w:rPr>
                <w:rFonts w:ascii="Calibri" w:hAnsi="Calibri"/>
                <w:b/>
                <w:color w:val="30A46C"/>
                <w:sz w:val="22"/>
              </w:rPr>
              <w:t>Beat</w:t>
            </w:r>
          </w:p>
        </w:tc>
      </w:tr>
      <w:tr>
        <w:tc>
          <w:tcPr>
            <w:tcW w:type="dxa" w:w="1234"/>
          </w:tcPr>
          <w:p>
            <w:r>
              <w:rPr>
                <w:rFonts w:ascii="Calibri" w:hAnsi="Calibri"/>
                <w:sz w:val="22"/>
              </w:rPr>
              <w:t>Natural Gas Production (MMcfd)</w:t>
            </w:r>
          </w:p>
        </w:tc>
        <w:tc>
          <w:tcPr>
            <w:tcW w:type="dxa" w:w="1234"/>
          </w:tcPr>
          <w:p>
            <w:r>
              <w:rPr>
                <w:rFonts w:ascii="Calibri" w:hAnsi="Calibri"/>
                <w:sz w:val="22"/>
              </w:rPr>
              <w:t>3,020</w:t>
            </w:r>
          </w:p>
        </w:tc>
        <w:tc>
          <w:tcPr>
            <w:tcW w:type="dxa" w:w="1234"/>
          </w:tcPr>
          <w:p>
            <w:r>
              <w:rPr>
                <w:rFonts w:ascii="Calibri" w:hAnsi="Calibri"/>
                <w:sz w:val="22"/>
              </w:rPr>
              <w:t>2,229</w:t>
            </w:r>
          </w:p>
        </w:tc>
        <w:tc>
          <w:tcPr>
            <w:tcW w:type="dxa" w:w="1234"/>
          </w:tcPr>
          <w:p>
            <w:r>
              <w:rPr>
                <w:rFonts w:ascii="Calibri" w:hAnsi="Calibri"/>
                <w:sz w:val="22"/>
              </w:rPr>
              <w:t>~3,057</w:t>
            </w:r>
          </w:p>
        </w:tc>
        <w:tc>
          <w:tcPr>
            <w:tcW w:type="dxa" w:w="1234"/>
          </w:tcPr>
          <w:p>
            <w:r>
              <w:rPr>
                <w:rFonts w:ascii="Calibri" w:hAnsi="Calibri"/>
                <w:b/>
                <w:sz w:val="22"/>
              </w:rPr>
              <w:t>~3,060</w:t>
            </w:r>
          </w:p>
        </w:tc>
        <w:tc>
          <w:tcPr>
            <w:tcW w:type="dxa" w:w="1234"/>
          </w:tcPr>
          <w:p>
            <w:r>
              <w:rPr>
                <w:rFonts w:ascii="Calibri" w:hAnsi="Calibri"/>
                <w:b/>
                <w:color w:val="30A46C"/>
                <w:sz w:val="22"/>
              </w:rPr>
              <w:t>+37.3%</w:t>
            </w:r>
          </w:p>
        </w:tc>
        <w:tc>
          <w:tcPr>
            <w:tcW w:type="dxa" w:w="1234"/>
          </w:tcPr>
          <w:p>
            <w:r>
              <w:rPr>
                <w:rFonts w:ascii="Calibri" w:hAnsi="Calibri"/>
                <w:sz w:val="22"/>
              </w:rPr>
              <w:t>In-line</w:t>
            </w:r>
          </w:p>
        </w:tc>
      </w:tr>
      <w:tr>
        <w:tc>
          <w:tcPr>
            <w:tcW w:type="dxa" w:w="1234"/>
          </w:tcPr>
          <w:p>
            <w:r>
              <w:rPr>
                <w:rFonts w:ascii="Calibri" w:hAnsi="Calibri"/>
                <w:sz w:val="22"/>
              </w:rPr>
              <w:t>Revenue ($B)</w:t>
            </w:r>
          </w:p>
        </w:tc>
        <w:tc>
          <w:tcPr>
            <w:tcW w:type="dxa" w:w="1234"/>
          </w:tcPr>
          <w:p>
            <w:r>
              <w:rPr>
                <w:rFonts w:ascii="Calibri" w:hAnsi="Calibri"/>
                <w:sz w:val="22"/>
              </w:rPr>
              <w:t>$6.92B</w:t>
            </w:r>
          </w:p>
        </w:tc>
        <w:tc>
          <w:tcPr>
            <w:tcW w:type="dxa" w:w="1234"/>
          </w:tcPr>
          <w:p>
            <w:r>
              <w:rPr>
                <w:rFonts w:ascii="Calibri" w:hAnsi="Calibri"/>
                <w:sz w:val="22"/>
              </w:rPr>
              <w:t>$5.48B</w:t>
            </w:r>
          </w:p>
        </w:tc>
        <w:tc>
          <w:tcPr>
            <w:tcW w:type="dxa" w:w="1234"/>
          </w:tcPr>
          <w:p>
            <w:r>
              <w:rPr>
                <w:rFonts w:ascii="Calibri" w:hAnsi="Calibri"/>
                <w:sz w:val="22"/>
              </w:rPr>
              <w:t>~$7.39B</w:t>
            </w:r>
          </w:p>
        </w:tc>
        <w:tc>
          <w:tcPr>
            <w:tcW w:type="dxa" w:w="1234"/>
          </w:tcPr>
          <w:p>
            <w:r>
              <w:rPr>
                <w:rFonts w:ascii="Calibri" w:hAnsi="Calibri"/>
                <w:b/>
                <w:sz w:val="22"/>
              </w:rPr>
              <w:t>~$8.00B</w:t>
            </w:r>
          </w:p>
        </w:tc>
        <w:tc>
          <w:tcPr>
            <w:tcW w:type="dxa" w:w="1234"/>
          </w:tcPr>
          <w:p>
            <w:r>
              <w:rPr>
                <w:rFonts w:ascii="Calibri" w:hAnsi="Calibri"/>
                <w:b/>
                <w:color w:val="30A46C"/>
                <w:sz w:val="22"/>
              </w:rPr>
              <w:t>+46.0%</w:t>
            </w:r>
          </w:p>
        </w:tc>
        <w:tc>
          <w:tcPr>
            <w:tcW w:type="dxa" w:w="1234"/>
          </w:tcPr>
          <w:p>
            <w:r>
              <w:rPr>
                <w:rFonts w:ascii="Calibri" w:hAnsi="Calibri"/>
                <w:b/>
                <w:color w:val="30A46C"/>
                <w:sz w:val="22"/>
              </w:rPr>
              <w:t>Beat</w:t>
            </w:r>
          </w:p>
        </w:tc>
      </w:tr>
      <w:tr>
        <w:tc>
          <w:tcPr>
            <w:tcW w:type="dxa" w:w="1234"/>
          </w:tcPr>
          <w:p>
            <w:r>
              <w:rPr>
                <w:rFonts w:ascii="Calibri" w:hAnsi="Calibri"/>
                <w:sz w:val="22"/>
              </w:rPr>
              <w:t>Free Cash Flow ($B)</w:t>
            </w:r>
          </w:p>
        </w:tc>
        <w:tc>
          <w:tcPr>
            <w:tcW w:type="dxa" w:w="1234"/>
          </w:tcPr>
          <w:p>
            <w:r>
              <w:rPr>
                <w:rFonts w:ascii="Calibri" w:hAnsi="Calibri"/>
                <w:sz w:val="22"/>
              </w:rPr>
              <w:t>$1.56B</w:t>
            </w:r>
          </w:p>
        </w:tc>
        <w:tc>
          <w:tcPr>
            <w:tcW w:type="dxa" w:w="1234"/>
          </w:tcPr>
          <w:p>
            <w:r>
              <w:rPr>
                <w:rFonts w:ascii="Calibri" w:hAnsi="Calibri"/>
                <w:sz w:val="22"/>
              </w:rPr>
              <w:t>$0.81B</w:t>
            </w:r>
          </w:p>
        </w:tc>
        <w:tc>
          <w:tcPr>
            <w:tcW w:type="dxa" w:w="1234"/>
          </w:tcPr>
          <w:p>
            <w:r>
              <w:rPr>
                <w:rFonts w:ascii="Calibri" w:hAnsi="Calibri"/>
                <w:sz w:val="22"/>
              </w:rPr>
              <w:t>~$2.58B</w:t>
            </w:r>
          </w:p>
        </w:tc>
        <w:tc>
          <w:tcPr>
            <w:tcW w:type="dxa" w:w="1234"/>
          </w:tcPr>
          <w:p>
            <w:r>
              <w:rPr>
                <w:rFonts w:ascii="Calibri" w:hAnsi="Calibri"/>
                <w:b/>
                <w:sz w:val="22"/>
              </w:rPr>
              <w:t>$2.80B</w:t>
            </w:r>
          </w:p>
        </w:tc>
        <w:tc>
          <w:tcPr>
            <w:tcW w:type="dxa" w:w="1234"/>
          </w:tcPr>
          <w:p>
            <w:r>
              <w:rPr>
                <w:rFonts w:ascii="Calibri" w:hAnsi="Calibri"/>
                <w:b/>
                <w:color w:val="30A46C"/>
                <w:sz w:val="22"/>
              </w:rPr>
              <w:t>+246%</w:t>
            </w:r>
          </w:p>
        </w:tc>
        <w:tc>
          <w:tcPr>
            <w:tcW w:type="dxa" w:w="1234"/>
          </w:tcPr>
          <w:p>
            <w:r>
              <w:rPr>
                <w:rFonts w:ascii="Calibri" w:hAnsi="Calibri"/>
                <w:b/>
                <w:color w:val="30A46C"/>
                <w:sz w:val="22"/>
              </w:rPr>
              <w:t>Beat</w:t>
            </w:r>
          </w:p>
        </w:tc>
      </w:tr>
      <w:tr>
        <w:tc>
          <w:tcPr>
            <w:tcW w:type="dxa" w:w="1234"/>
          </w:tcPr>
          <w:p>
            <w:r>
              <w:rPr>
                <w:rFonts w:ascii="Calibri" w:hAnsi="Calibri"/>
                <w:sz w:val="22"/>
              </w:rPr>
              <w:t>Capital Expenditures ($B)</w:t>
            </w:r>
          </w:p>
        </w:tc>
        <w:tc>
          <w:tcPr>
            <w:tcW w:type="dxa" w:w="1234"/>
          </w:tcPr>
          <w:p>
            <w:r>
              <w:rPr>
                <w:rFonts w:ascii="Calibri" w:hAnsi="Calibri"/>
                <w:sz w:val="22"/>
              </w:rPr>
              <w:t>$1.64B</w:t>
            </w:r>
          </w:p>
        </w:tc>
        <w:tc>
          <w:tcPr>
            <w:tcW w:type="dxa" w:w="1234"/>
          </w:tcPr>
          <w:p>
            <w:r>
              <w:rPr>
                <w:rFonts w:ascii="Calibri" w:hAnsi="Calibri"/>
                <w:sz w:val="22"/>
              </w:rPr>
              <w:t>$1.79B</w:t>
            </w:r>
          </w:p>
        </w:tc>
        <w:tc>
          <w:tcPr>
            <w:tcW w:type="dxa" w:w="1234"/>
          </w:tcPr>
          <w:p>
            <w:r>
              <w:rPr>
                <w:rFonts w:ascii="Calibri" w:hAnsi="Calibri"/>
                <w:sz w:val="22"/>
              </w:rPr>
              <w:t>~$1.61B</w:t>
            </w:r>
          </w:p>
        </w:tc>
        <w:tc>
          <w:tcPr>
            <w:tcW w:type="dxa" w:w="1234"/>
          </w:tcPr>
          <w:p>
            <w:r>
              <w:rPr>
                <w:rFonts w:ascii="Calibri" w:hAnsi="Calibri"/>
                <w:b/>
                <w:sz w:val="22"/>
              </w:rPr>
              <w:t>$1.59B</w:t>
            </w:r>
          </w:p>
        </w:tc>
        <w:tc>
          <w:tcPr>
            <w:tcW w:type="dxa" w:w="1234"/>
          </w:tcPr>
          <w:p>
            <w:r>
              <w:rPr>
                <w:rFonts w:ascii="Calibri" w:hAnsi="Calibri"/>
                <w:b/>
                <w:color w:val="30A46C"/>
                <w:sz w:val="22"/>
              </w:rPr>
              <w:t>-11.2%</w:t>
            </w:r>
          </w:p>
        </w:tc>
        <w:tc>
          <w:tcPr>
            <w:tcW w:type="dxa" w:w="1234"/>
          </w:tcPr>
          <w:p>
            <w:r>
              <w:rPr>
                <w:rFonts w:ascii="Calibri" w:hAnsi="Calibri"/>
                <w:b/>
                <w:color w:val="30A46C"/>
                <w:sz w:val="22"/>
              </w:rPr>
              <w:t>Beat (under)</w:t>
            </w:r>
          </w:p>
        </w:tc>
      </w:tr>
      <w:tr>
        <w:tc>
          <w:tcPr>
            <w:tcW w:type="dxa" w:w="1234"/>
          </w:tcPr>
          <w:p>
            <w:r>
              <w:rPr>
                <w:rFonts w:ascii="Calibri" w:hAnsi="Calibri"/>
                <w:sz w:val="22"/>
              </w:rPr>
              <w:t>Cash Op. Costs ($/Boe)</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~$10.70 (guidance mid)</w:t>
            </w:r>
          </w:p>
        </w:tc>
        <w:tc>
          <w:tcPr>
            <w:tcW w:type="dxa" w:w="1234"/>
          </w:tcPr>
          <w:p>
            <w:r>
              <w:rPr>
                <w:rFonts w:ascii="Calibri" w:hAnsi="Calibri"/>
                <w:b/>
                <w:sz w:val="22"/>
              </w:rPr>
              <w:t>$10.57</w:t>
            </w:r>
          </w:p>
        </w:tc>
        <w:tc>
          <w:tcPr>
            <w:tcW w:type="dxa" w:w="1234"/>
          </w:tcPr>
          <w:p>
            <w:r>
              <w:rPr>
                <w:rFonts w:ascii="Calibri" w:hAnsi="Calibri"/>
                <w:sz w:val="22"/>
              </w:rPr>
              <w:t>N/A</w:t>
            </w:r>
          </w:p>
        </w:tc>
        <w:tc>
          <w:tcPr>
            <w:tcW w:type="dxa" w:w="1234"/>
          </w:tcPr>
          <w:p>
            <w:r>
              <w:rPr>
                <w:rFonts w:ascii="Calibri" w:hAnsi="Calibri"/>
                <w:b/>
                <w:color w:val="30A46C"/>
                <w:sz w:val="22"/>
              </w:rPr>
              <w:t>Beat</w:t>
            </w:r>
          </w:p>
        </w:tc>
      </w:tr>
    </w:tbl>
    <w:p>
      <w:r>
        <w:rPr>
          <w:rFonts w:ascii="Calibri" w:hAnsi="Calibri"/>
          <w:b/>
          <w:color w:val="525866"/>
          <w:sz w:val="22"/>
        </w:rPr>
        <w:t xml:space="preserve">Sources: </w:t>
      </w:r>
      <w:r>
        <w:rPr>
          <w:rFonts w:ascii="Calibri" w:hAnsi="Calibri"/>
          <w:color w:val="525866"/>
          <w:sz w:val="22"/>
        </w:rPr>
        <w:t>EOG 2Q26 Earnings Release (August 4, 2026); Visible Alpha Consensus and Actuals Data (EPS, Oil Production, Total Production, Natural Gas Production, Revenue, FCF, CapEx). Consensus figures shown are pre-release estimates as of ~August 3, 2026.</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Adjusted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3Q24</w:t>
            </w:r>
          </w:p>
        </w:tc>
        <w:tc>
          <w:tcPr>
            <w:tcW w:type="dxa" w:w="1728"/>
          </w:tcPr>
          <w:p>
            <w:r>
              <w:rPr>
                <w:rFonts w:ascii="Calibri" w:hAnsi="Calibri"/>
                <w:sz w:val="22"/>
              </w:rPr>
              <w:t>$2.89</w:t>
            </w:r>
          </w:p>
        </w:tc>
        <w:tc>
          <w:tcPr>
            <w:tcW w:type="dxa" w:w="1728"/>
          </w:tcPr>
          <w:p>
            <w:r>
              <w:rPr>
                <w:rFonts w:ascii="Calibri" w:hAnsi="Calibri"/>
                <w:sz w:val="22"/>
              </w:rPr>
              <w:t>$2.71</w:t>
            </w:r>
          </w:p>
        </w:tc>
        <w:tc>
          <w:tcPr>
            <w:tcW w:type="dxa" w:w="1728"/>
          </w:tcPr>
          <w:p>
            <w:r>
              <w:rPr>
                <w:rFonts w:ascii="Calibri" w:hAnsi="Calibri"/>
                <w:sz w:val="22"/>
              </w:rPr>
              <w:t>+6.6%</w:t>
            </w:r>
          </w:p>
        </w:tc>
        <w:tc>
          <w:tcPr>
            <w:tcW w:type="dxa" w:w="1728"/>
          </w:tcPr>
          <w:p>
            <w:r>
              <w:rPr>
                <w:rFonts w:ascii="Calibri" w:hAnsi="Calibri"/>
                <w:b/>
                <w:color w:val="30A46C"/>
                <w:sz w:val="22"/>
              </w:rPr>
              <w:t>Beat</w:t>
            </w:r>
          </w:p>
        </w:tc>
      </w:tr>
      <w:tr>
        <w:tc>
          <w:tcPr>
            <w:tcW w:type="dxa" w:w="1728"/>
          </w:tcPr>
          <w:p>
            <w:r>
              <w:rPr>
                <w:rFonts w:ascii="Calibri" w:hAnsi="Calibri"/>
                <w:sz w:val="22"/>
              </w:rPr>
              <w:t>4Q24</w:t>
            </w:r>
          </w:p>
        </w:tc>
        <w:tc>
          <w:tcPr>
            <w:tcW w:type="dxa" w:w="1728"/>
          </w:tcPr>
          <w:p>
            <w:r>
              <w:rPr>
                <w:rFonts w:ascii="Calibri" w:hAnsi="Calibri"/>
                <w:sz w:val="22"/>
              </w:rPr>
              <w:t>$2.74</w:t>
            </w:r>
          </w:p>
        </w:tc>
        <w:tc>
          <w:tcPr>
            <w:tcW w:type="dxa" w:w="1728"/>
          </w:tcPr>
          <w:p>
            <w:r>
              <w:rPr>
                <w:rFonts w:ascii="Calibri" w:hAnsi="Calibri"/>
                <w:sz w:val="22"/>
              </w:rPr>
              <w:t>$2.55</w:t>
            </w:r>
          </w:p>
        </w:tc>
        <w:tc>
          <w:tcPr>
            <w:tcW w:type="dxa" w:w="1728"/>
          </w:tcPr>
          <w:p>
            <w:r>
              <w:rPr>
                <w:rFonts w:ascii="Calibri" w:hAnsi="Calibri"/>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1Q25</w:t>
            </w:r>
          </w:p>
        </w:tc>
        <w:tc>
          <w:tcPr>
            <w:tcW w:type="dxa" w:w="1728"/>
          </w:tcPr>
          <w:p>
            <w:r>
              <w:rPr>
                <w:rFonts w:ascii="Calibri" w:hAnsi="Calibri"/>
                <w:sz w:val="22"/>
              </w:rPr>
              <w:t>$2.87</w:t>
            </w:r>
          </w:p>
        </w:tc>
        <w:tc>
          <w:tcPr>
            <w:tcW w:type="dxa" w:w="1728"/>
          </w:tcPr>
          <w:p>
            <w:r>
              <w:rPr>
                <w:rFonts w:ascii="Calibri" w:hAnsi="Calibri"/>
                <w:sz w:val="22"/>
              </w:rPr>
              <w:t>$2.78</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2Q25</w:t>
            </w:r>
          </w:p>
        </w:tc>
        <w:tc>
          <w:tcPr>
            <w:tcW w:type="dxa" w:w="1728"/>
          </w:tcPr>
          <w:p>
            <w:r>
              <w:rPr>
                <w:rFonts w:ascii="Calibri" w:hAnsi="Calibri"/>
                <w:sz w:val="22"/>
              </w:rPr>
              <w:t>$2.32</w:t>
            </w:r>
          </w:p>
        </w:tc>
        <w:tc>
          <w:tcPr>
            <w:tcW w:type="dxa" w:w="1728"/>
          </w:tcPr>
          <w:p>
            <w:r>
              <w:rPr>
                <w:rFonts w:ascii="Calibri" w:hAnsi="Calibri"/>
                <w:sz w:val="22"/>
              </w:rPr>
              <w:t>$2.20</w:t>
            </w:r>
          </w:p>
        </w:tc>
        <w:tc>
          <w:tcPr>
            <w:tcW w:type="dxa" w:w="1728"/>
          </w:tcPr>
          <w:p>
            <w:r>
              <w:rPr>
                <w:rFonts w:ascii="Calibri" w:hAnsi="Calibri"/>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3Q25</w:t>
            </w:r>
          </w:p>
        </w:tc>
        <w:tc>
          <w:tcPr>
            <w:tcW w:type="dxa" w:w="1728"/>
          </w:tcPr>
          <w:p>
            <w:r>
              <w:rPr>
                <w:rFonts w:ascii="Calibri" w:hAnsi="Calibri"/>
                <w:sz w:val="22"/>
              </w:rPr>
              <w:t>$2.71</w:t>
            </w:r>
          </w:p>
        </w:tc>
        <w:tc>
          <w:tcPr>
            <w:tcW w:type="dxa" w:w="1728"/>
          </w:tcPr>
          <w:p>
            <w:r>
              <w:rPr>
                <w:rFonts w:ascii="Calibri" w:hAnsi="Calibri"/>
                <w:sz w:val="22"/>
              </w:rPr>
              <w:t>$2.43</w:t>
            </w:r>
          </w:p>
        </w:tc>
        <w:tc>
          <w:tcPr>
            <w:tcW w:type="dxa" w:w="1728"/>
          </w:tcPr>
          <w:p>
            <w:r>
              <w:rPr>
                <w:rFonts w:ascii="Calibri" w:hAnsi="Calibri"/>
                <w:sz w:val="22"/>
              </w:rPr>
              <w:t>+11.5%</w:t>
            </w:r>
          </w:p>
        </w:tc>
        <w:tc>
          <w:tcPr>
            <w:tcW w:type="dxa" w:w="1728"/>
          </w:tcPr>
          <w:p>
            <w:r>
              <w:rPr>
                <w:rFonts w:ascii="Calibri" w:hAnsi="Calibri"/>
                <w:b/>
                <w:color w:val="30A46C"/>
                <w:sz w:val="22"/>
              </w:rPr>
              <w:t>Beat</w:t>
            </w:r>
          </w:p>
        </w:tc>
      </w:tr>
      <w:tr>
        <w:tc>
          <w:tcPr>
            <w:tcW w:type="dxa" w:w="1728"/>
          </w:tcPr>
          <w:p>
            <w:r>
              <w:rPr>
                <w:rFonts w:ascii="Calibri" w:hAnsi="Calibri"/>
                <w:sz w:val="22"/>
              </w:rPr>
              <w:t>4Q25</w:t>
            </w:r>
          </w:p>
        </w:tc>
        <w:tc>
          <w:tcPr>
            <w:tcW w:type="dxa" w:w="1728"/>
          </w:tcPr>
          <w:p>
            <w:r>
              <w:rPr>
                <w:rFonts w:ascii="Calibri" w:hAnsi="Calibri"/>
                <w:sz w:val="22"/>
              </w:rPr>
              <w:t>$2.27</w:t>
            </w:r>
          </w:p>
        </w:tc>
        <w:tc>
          <w:tcPr>
            <w:tcW w:type="dxa" w:w="1728"/>
          </w:tcPr>
          <w:p>
            <w:r>
              <w:rPr>
                <w:rFonts w:ascii="Calibri" w:hAnsi="Calibri"/>
                <w:sz w:val="22"/>
              </w:rPr>
              <w:t>$2.20</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1Q26</w:t>
            </w:r>
          </w:p>
        </w:tc>
        <w:tc>
          <w:tcPr>
            <w:tcW w:type="dxa" w:w="1728"/>
          </w:tcPr>
          <w:p>
            <w:r>
              <w:rPr>
                <w:rFonts w:ascii="Calibri" w:hAnsi="Calibri"/>
                <w:sz w:val="22"/>
              </w:rPr>
              <w:t>$3.41</w:t>
            </w:r>
          </w:p>
        </w:tc>
        <w:tc>
          <w:tcPr>
            <w:tcW w:type="dxa" w:w="1728"/>
          </w:tcPr>
          <w:p>
            <w:r>
              <w:rPr>
                <w:rFonts w:ascii="Calibri" w:hAnsi="Calibri"/>
                <w:sz w:val="22"/>
              </w:rPr>
              <w:t>$3.13</w:t>
            </w:r>
          </w:p>
        </w:tc>
        <w:tc>
          <w:tcPr>
            <w:tcW w:type="dxa" w:w="1728"/>
          </w:tcPr>
          <w:p>
            <w:r>
              <w:rPr>
                <w:rFonts w:ascii="Calibri" w:hAnsi="Calibri"/>
                <w:sz w:val="22"/>
              </w:rPr>
              <w:t>+9.0%</w:t>
            </w:r>
          </w:p>
        </w:tc>
        <w:tc>
          <w:tcPr>
            <w:tcW w:type="dxa" w:w="1728"/>
          </w:tcPr>
          <w:p>
            <w:r>
              <w:rPr>
                <w:rFonts w:ascii="Calibri" w:hAnsi="Calibri"/>
                <w:b/>
                <w:color w:val="30A46C"/>
                <w:sz w:val="22"/>
              </w:rPr>
              <w:t>Beat</w:t>
            </w:r>
          </w:p>
        </w:tc>
      </w:tr>
      <w:tr>
        <w:tc>
          <w:tcPr>
            <w:tcW w:type="dxa" w:w="1728"/>
          </w:tcPr>
          <w:p>
            <w:r>
              <w:rPr>
                <w:rFonts w:ascii="Calibri" w:hAnsi="Calibri"/>
                <w:sz w:val="22"/>
              </w:rPr>
              <w:t>2Q26</w:t>
            </w:r>
          </w:p>
        </w:tc>
        <w:tc>
          <w:tcPr>
            <w:tcW w:type="dxa" w:w="1728"/>
          </w:tcPr>
          <w:p>
            <w:r>
              <w:rPr>
                <w:rFonts w:ascii="Calibri" w:hAnsi="Calibri"/>
                <w:sz w:val="22"/>
              </w:rPr>
              <w:t>$5.07</w:t>
            </w:r>
          </w:p>
        </w:tc>
        <w:tc>
          <w:tcPr>
            <w:tcW w:type="dxa" w:w="1728"/>
          </w:tcPr>
          <w:p>
            <w:r>
              <w:rPr>
                <w:rFonts w:ascii="Calibri" w:hAnsi="Calibri"/>
                <w:sz w:val="22"/>
              </w:rPr>
              <w:t>~$4.98</w:t>
            </w:r>
          </w:p>
        </w:tc>
        <w:tc>
          <w:tcPr>
            <w:tcW w:type="dxa" w:w="1728"/>
          </w:tcPr>
          <w:p>
            <w:r>
              <w:rPr>
                <w:rFonts w:ascii="Calibri" w:hAnsi="Calibri"/>
                <w:sz w:val="22"/>
              </w:rPr>
              <w:t>+~1.8%</w:t>
            </w:r>
          </w:p>
        </w:tc>
        <w:tc>
          <w:tcPr>
            <w:tcW w:type="dxa" w:w="1728"/>
          </w:tcPr>
          <w:p>
            <w:r>
              <w:rPr>
                <w:rFonts w:ascii="Calibri" w:hAnsi="Calibri"/>
                <w:b/>
                <w:color w:val="30A46C"/>
                <w:sz w:val="22"/>
              </w:rPr>
              <w:t>Beat</w:t>
            </w:r>
          </w:p>
        </w:tc>
      </w:tr>
    </w:tbl>
    <w:p>
      <w:pPr>
        <w:pStyle w:val="Heading3"/>
      </w:pPr>
      <w:r>
        <w:rPr>
          <w:rFonts w:ascii="Calibri" w:hAnsi="Calibri"/>
          <w:b/>
          <w:color w:val="3B4259"/>
          <w:sz w:val="24"/>
        </w:rPr>
        <w:t>KPI 2: Total Oil Production (MBod)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3Q24</w:t>
            </w:r>
          </w:p>
        </w:tc>
        <w:tc>
          <w:tcPr>
            <w:tcW w:type="dxa" w:w="1728"/>
          </w:tcPr>
          <w:p>
            <w:r>
              <w:rPr>
                <w:rFonts w:ascii="Calibri" w:hAnsi="Calibri"/>
                <w:sz w:val="22"/>
              </w:rPr>
              <w:t>493.0</w:t>
            </w:r>
          </w:p>
        </w:tc>
        <w:tc>
          <w:tcPr>
            <w:tcW w:type="dxa" w:w="1728"/>
          </w:tcPr>
          <w:p>
            <w:r>
              <w:rPr>
                <w:rFonts w:ascii="Calibri" w:hAnsi="Calibri"/>
                <w:sz w:val="22"/>
              </w:rPr>
              <w:t>492.0</w:t>
            </w:r>
          </w:p>
        </w:tc>
        <w:tc>
          <w:tcPr>
            <w:tcW w:type="dxa" w:w="1728"/>
          </w:tcPr>
          <w:p>
            <w:r>
              <w:rPr>
                <w:rFonts w:ascii="Calibri" w:hAnsi="Calibri"/>
                <w:sz w:val="22"/>
              </w:rPr>
              <w:t>+0.2%</w:t>
            </w:r>
          </w:p>
        </w:tc>
        <w:tc>
          <w:tcPr>
            <w:tcW w:type="dxa" w:w="1728"/>
          </w:tcPr>
          <w:p>
            <w:r>
              <w:rPr>
                <w:rFonts w:ascii="Calibri" w:hAnsi="Calibri"/>
                <w:b/>
                <w:color w:val="30A46C"/>
                <w:sz w:val="22"/>
              </w:rPr>
              <w:t>In-line / slight beat</w:t>
            </w:r>
          </w:p>
        </w:tc>
      </w:tr>
      <w:tr>
        <w:tc>
          <w:tcPr>
            <w:tcW w:type="dxa" w:w="1728"/>
          </w:tcPr>
          <w:p>
            <w:r>
              <w:rPr>
                <w:rFonts w:ascii="Calibri" w:hAnsi="Calibri"/>
                <w:sz w:val="22"/>
              </w:rPr>
              <w:t>4Q24</w:t>
            </w:r>
          </w:p>
        </w:tc>
        <w:tc>
          <w:tcPr>
            <w:tcW w:type="dxa" w:w="1728"/>
          </w:tcPr>
          <w:p>
            <w:r>
              <w:rPr>
                <w:rFonts w:ascii="Calibri" w:hAnsi="Calibri"/>
                <w:sz w:val="22"/>
              </w:rPr>
              <w:t>494.6</w:t>
            </w:r>
          </w:p>
        </w:tc>
        <w:tc>
          <w:tcPr>
            <w:tcW w:type="dxa" w:w="1728"/>
          </w:tcPr>
          <w:p>
            <w:r>
              <w:rPr>
                <w:rFonts w:ascii="Calibri" w:hAnsi="Calibri"/>
                <w:sz w:val="22"/>
              </w:rPr>
              <w:t>494.3</w:t>
            </w:r>
          </w:p>
        </w:tc>
        <w:tc>
          <w:tcPr>
            <w:tcW w:type="dxa" w:w="1728"/>
          </w:tcPr>
          <w:p>
            <w:r>
              <w:rPr>
                <w:rFonts w:ascii="Calibri" w:hAnsi="Calibri"/>
                <w:sz w:val="22"/>
              </w:rPr>
              <w:t>+0.1%</w:t>
            </w:r>
          </w:p>
        </w:tc>
        <w:tc>
          <w:tcPr>
            <w:tcW w:type="dxa" w:w="1728"/>
          </w:tcPr>
          <w:p>
            <w:r>
              <w:rPr>
                <w:rFonts w:ascii="Calibri" w:hAnsi="Calibri"/>
                <w:b/>
                <w:color w:val="30A46C"/>
                <w:sz w:val="22"/>
              </w:rPr>
              <w:t>In-line</w:t>
            </w:r>
          </w:p>
        </w:tc>
      </w:tr>
      <w:tr>
        <w:tc>
          <w:tcPr>
            <w:tcW w:type="dxa" w:w="1728"/>
          </w:tcPr>
          <w:p>
            <w:r>
              <w:rPr>
                <w:rFonts w:ascii="Calibri" w:hAnsi="Calibri"/>
                <w:sz w:val="22"/>
              </w:rPr>
              <w:t>1Q25</w:t>
            </w:r>
          </w:p>
        </w:tc>
        <w:tc>
          <w:tcPr>
            <w:tcW w:type="dxa" w:w="1728"/>
          </w:tcPr>
          <w:p>
            <w:r>
              <w:rPr>
                <w:rFonts w:ascii="Calibri" w:hAnsi="Calibri"/>
                <w:sz w:val="22"/>
              </w:rPr>
              <w:t>502.1</w:t>
            </w:r>
          </w:p>
        </w:tc>
        <w:tc>
          <w:tcPr>
            <w:tcW w:type="dxa" w:w="1728"/>
          </w:tcPr>
          <w:p>
            <w:r>
              <w:rPr>
                <w:rFonts w:ascii="Calibri" w:hAnsi="Calibri"/>
                <w:sz w:val="22"/>
              </w:rPr>
              <w:t>501.3</w:t>
            </w:r>
          </w:p>
        </w:tc>
        <w:tc>
          <w:tcPr>
            <w:tcW w:type="dxa" w:w="1728"/>
          </w:tcPr>
          <w:p>
            <w:r>
              <w:rPr>
                <w:rFonts w:ascii="Calibri" w:hAnsi="Calibri"/>
                <w:sz w:val="22"/>
              </w:rPr>
              <w:t>+0.2%</w:t>
            </w:r>
          </w:p>
        </w:tc>
        <w:tc>
          <w:tcPr>
            <w:tcW w:type="dxa" w:w="1728"/>
          </w:tcPr>
          <w:p>
            <w:r>
              <w:rPr>
                <w:rFonts w:ascii="Calibri" w:hAnsi="Calibri"/>
                <w:b/>
                <w:color w:val="30A46C"/>
                <w:sz w:val="22"/>
              </w:rPr>
              <w:t>In-line / slight beat</w:t>
            </w:r>
          </w:p>
        </w:tc>
      </w:tr>
      <w:tr>
        <w:tc>
          <w:tcPr>
            <w:tcW w:type="dxa" w:w="1728"/>
          </w:tcPr>
          <w:p>
            <w:r>
              <w:rPr>
                <w:rFonts w:ascii="Calibri" w:hAnsi="Calibri"/>
                <w:sz w:val="22"/>
              </w:rPr>
              <w:t>2Q25</w:t>
            </w:r>
          </w:p>
        </w:tc>
        <w:tc>
          <w:tcPr>
            <w:tcW w:type="dxa" w:w="1728"/>
          </w:tcPr>
          <w:p>
            <w:r>
              <w:rPr>
                <w:rFonts w:ascii="Calibri" w:hAnsi="Calibri"/>
                <w:sz w:val="22"/>
              </w:rPr>
              <w:t>504.2</w:t>
            </w:r>
          </w:p>
        </w:tc>
        <w:tc>
          <w:tcPr>
            <w:tcW w:type="dxa" w:w="1728"/>
          </w:tcPr>
          <w:p>
            <w:r>
              <w:rPr>
                <w:rFonts w:ascii="Calibri" w:hAnsi="Calibri"/>
                <w:sz w:val="22"/>
              </w:rPr>
              <w:t>502.1</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3Q25</w:t>
            </w:r>
          </w:p>
        </w:tc>
        <w:tc>
          <w:tcPr>
            <w:tcW w:type="dxa" w:w="1728"/>
          </w:tcPr>
          <w:p>
            <w:r>
              <w:rPr>
                <w:rFonts w:ascii="Calibri" w:hAnsi="Calibri"/>
                <w:sz w:val="22"/>
              </w:rPr>
              <w:t>534.5</w:t>
            </w:r>
          </w:p>
        </w:tc>
        <w:tc>
          <w:tcPr>
            <w:tcW w:type="dxa" w:w="1728"/>
          </w:tcPr>
          <w:p>
            <w:r>
              <w:rPr>
                <w:rFonts w:ascii="Calibri" w:hAnsi="Calibri"/>
                <w:sz w:val="22"/>
              </w:rPr>
              <w:t>533.2</w:t>
            </w:r>
          </w:p>
        </w:tc>
        <w:tc>
          <w:tcPr>
            <w:tcW w:type="dxa" w:w="1728"/>
          </w:tcPr>
          <w:p>
            <w:r>
              <w:rPr>
                <w:rFonts w:ascii="Calibri" w:hAnsi="Calibri"/>
                <w:sz w:val="22"/>
              </w:rPr>
              <w:t>+0.2%</w:t>
            </w:r>
          </w:p>
        </w:tc>
        <w:tc>
          <w:tcPr>
            <w:tcW w:type="dxa" w:w="1728"/>
          </w:tcPr>
          <w:p>
            <w:r>
              <w:rPr>
                <w:rFonts w:ascii="Calibri" w:hAnsi="Calibri"/>
                <w:b/>
                <w:color w:val="30A46C"/>
                <w:sz w:val="22"/>
              </w:rPr>
              <w:t>In-line / slight beat</w:t>
            </w:r>
          </w:p>
        </w:tc>
      </w:tr>
      <w:tr>
        <w:tc>
          <w:tcPr>
            <w:tcW w:type="dxa" w:w="1728"/>
          </w:tcPr>
          <w:p>
            <w:r>
              <w:rPr>
                <w:rFonts w:ascii="Calibri" w:hAnsi="Calibri"/>
                <w:sz w:val="22"/>
              </w:rPr>
              <w:t>4Q25</w:t>
            </w:r>
          </w:p>
        </w:tc>
        <w:tc>
          <w:tcPr>
            <w:tcW w:type="dxa" w:w="1728"/>
          </w:tcPr>
          <w:p>
            <w:r>
              <w:rPr>
                <w:rFonts w:ascii="Calibri" w:hAnsi="Calibri"/>
                <w:sz w:val="22"/>
              </w:rPr>
              <w:t>546.1</w:t>
            </w:r>
          </w:p>
        </w:tc>
        <w:tc>
          <w:tcPr>
            <w:tcW w:type="dxa" w:w="1728"/>
          </w:tcPr>
          <w:p>
            <w:r>
              <w:rPr>
                <w:rFonts w:ascii="Calibri" w:hAnsi="Calibri"/>
                <w:sz w:val="22"/>
              </w:rPr>
              <w:t>545.7</w:t>
            </w:r>
          </w:p>
        </w:tc>
        <w:tc>
          <w:tcPr>
            <w:tcW w:type="dxa" w:w="1728"/>
          </w:tcPr>
          <w:p>
            <w:r>
              <w:rPr>
                <w:rFonts w:ascii="Calibri" w:hAnsi="Calibri"/>
                <w:sz w:val="22"/>
              </w:rPr>
              <w:t>+0.1%</w:t>
            </w:r>
          </w:p>
        </w:tc>
        <w:tc>
          <w:tcPr>
            <w:tcW w:type="dxa" w:w="1728"/>
          </w:tcPr>
          <w:p>
            <w:r>
              <w:rPr>
                <w:rFonts w:ascii="Calibri" w:hAnsi="Calibri"/>
                <w:b/>
                <w:color w:val="30A46C"/>
                <w:sz w:val="22"/>
              </w:rPr>
              <w:t>In-line</w:t>
            </w:r>
          </w:p>
        </w:tc>
      </w:tr>
      <w:tr>
        <w:tc>
          <w:tcPr>
            <w:tcW w:type="dxa" w:w="1728"/>
          </w:tcPr>
          <w:p>
            <w:r>
              <w:rPr>
                <w:rFonts w:ascii="Calibri" w:hAnsi="Calibri"/>
                <w:sz w:val="22"/>
              </w:rPr>
              <w:t>1Q26</w:t>
            </w:r>
          </w:p>
        </w:tc>
        <w:tc>
          <w:tcPr>
            <w:tcW w:type="dxa" w:w="1728"/>
          </w:tcPr>
          <w:p>
            <w:r>
              <w:rPr>
                <w:rFonts w:ascii="Calibri" w:hAnsi="Calibri"/>
                <w:sz w:val="22"/>
              </w:rPr>
              <w:t>548.5</w:t>
            </w:r>
          </w:p>
        </w:tc>
        <w:tc>
          <w:tcPr>
            <w:tcW w:type="dxa" w:w="1728"/>
          </w:tcPr>
          <w:p>
            <w:r>
              <w:rPr>
                <w:rFonts w:ascii="Calibri" w:hAnsi="Calibri"/>
                <w:sz w:val="22"/>
              </w:rPr>
              <w:t>547.0</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2Q26</w:t>
            </w:r>
          </w:p>
        </w:tc>
        <w:tc>
          <w:tcPr>
            <w:tcW w:type="dxa" w:w="1728"/>
          </w:tcPr>
          <w:p>
            <w:r>
              <w:rPr>
                <w:rFonts w:ascii="Calibri" w:hAnsi="Calibri"/>
                <w:sz w:val="22"/>
              </w:rPr>
              <w:t>548.8</w:t>
            </w:r>
          </w:p>
        </w:tc>
        <w:tc>
          <w:tcPr>
            <w:tcW w:type="dxa" w:w="1728"/>
          </w:tcPr>
          <w:p>
            <w:r>
              <w:rPr>
                <w:rFonts w:ascii="Calibri" w:hAnsi="Calibri"/>
                <w:sz w:val="22"/>
              </w:rPr>
              <w:t>~549.1</w:t>
            </w:r>
          </w:p>
        </w:tc>
        <w:tc>
          <w:tcPr>
            <w:tcW w:type="dxa" w:w="1728"/>
          </w:tcPr>
          <w:p>
            <w:r>
              <w:rPr>
                <w:rFonts w:ascii="Calibri" w:hAnsi="Calibri"/>
                <w:sz w:val="22"/>
              </w:rPr>
              <w:t>-0.1%</w:t>
            </w:r>
          </w:p>
        </w:tc>
        <w:tc>
          <w:tcPr>
            <w:tcW w:type="dxa" w:w="1728"/>
          </w:tcPr>
          <w:p>
            <w:r>
              <w:rPr>
                <w:rFonts w:ascii="Calibri" w:hAnsi="Calibri"/>
                <w:sz w:val="22"/>
              </w:rPr>
              <w:t>In-line / slight miss</w:t>
            </w:r>
          </w:p>
        </w:tc>
      </w:tr>
    </w:tbl>
    <w:p>
      <w:r>
        <w:rPr>
          <w:rFonts w:ascii="Calibri" w:hAnsi="Calibri"/>
          <w:b/>
          <w:color w:val="525866"/>
          <w:sz w:val="22"/>
        </w:rPr>
        <w:t xml:space="preserve">Pattern: </w:t>
      </w:r>
      <w:r>
        <w:rPr>
          <w:rFonts w:ascii="Calibri" w:hAnsi="Calibri"/>
          <w:color w:val="525866"/>
          <w:sz w:val="22"/>
        </w:rPr>
        <w:t>EOG has beaten adjusted EPS consensus in each of the last 8 quarters, with the magnitude of beats accelerating sharply in 2026 as oil prices surged on Iran conflict dynamics; oil production volumes consistently track within ~0.5% of consensus, reflecting management’s disciplined guidance practice.</w:t>
      </w:r>
    </w:p>
    <w:p>
      <w:r>
        <w:rPr>
          <w:rFonts w:ascii="Calibri" w:hAnsi="Calibri"/>
          <w:b/>
          <w:color w:val="525866"/>
          <w:sz w:val="22"/>
        </w:rPr>
        <w:t xml:space="preserve">Source: </w:t>
      </w:r>
      <w:r>
        <w:rPr>
          <w:rFonts w:ascii="Calibri" w:hAnsi="Calibri"/>
          <w:color w:val="525866"/>
          <w:sz w:val="22"/>
        </w:rPr>
        <w:t>Visible Alpha Consensus and Actuals Data (EPS — Diluted — Operating; Total Oil Production per day).</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CapEx guidance held flat at $6.5B midpoint, but EOG raised oil and NGL production guidance and now projects </w:t>
      </w:r>
      <w:r>
        <w:rPr>
          <w:rFonts w:ascii="Calibri" w:hAnsi="Calibri"/>
          <w:b/>
          <w:color w:val="525866"/>
          <w:sz w:val="22"/>
        </w:rPr>
        <w:t>5% oil growth and 14% total production growth</w:t>
      </w:r>
      <w:r>
        <w:rPr>
          <w:rFonts w:ascii="Calibri" w:hAnsi="Calibri"/>
          <w:color w:val="525866"/>
          <w:sz w:val="22"/>
        </w:rPr>
        <w:t xml:space="preserve"> for the year — achieved by reallocating capital from Dorado gas to oil-weighted assets. The UAE initial production result is a material positive surprise not in any prior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(1Q26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FY26 Oil Production (MBod)</w:t>
            </w:r>
          </w:p>
        </w:tc>
        <w:tc>
          <w:tcPr>
            <w:tcW w:type="dxa" w:w="1728"/>
          </w:tcPr>
          <w:p>
            <w:r>
              <w:rPr>
                <w:rFonts w:ascii="Calibri" w:hAnsi="Calibri"/>
                <w:sz w:val="22"/>
              </w:rPr>
              <w:t>Raised by 2,000 bpd vs. prior guidance; targeting 5% growth</w:t>
            </w:r>
          </w:p>
        </w:tc>
        <w:tc>
          <w:tcPr>
            <w:tcW w:type="dxa" w:w="1728"/>
          </w:tcPr>
          <w:p>
            <w:r>
              <w:rPr>
                <w:rFonts w:ascii="Calibri" w:hAnsi="Calibri"/>
                <w:sz w:val="22"/>
              </w:rPr>
              <w:t>546.3–551.1 MBod (mid: 548.7)</w:t>
            </w:r>
          </w:p>
        </w:tc>
        <w:tc>
          <w:tcPr>
            <w:tcW w:type="dxa" w:w="1728"/>
          </w:tcPr>
          <w:p>
            <w:r>
              <w:rPr>
                <w:rFonts w:ascii="Calibri" w:hAnsi="Calibri"/>
                <w:sz w:val="22"/>
              </w:rPr>
              <w:t>~549.7 MBod</w:t>
            </w:r>
          </w:p>
        </w:tc>
        <w:tc>
          <w:tcPr>
            <w:tcW w:type="dxa" w:w="1728"/>
          </w:tcPr>
          <w:p>
            <w:r>
              <w:rPr>
                <w:rFonts w:ascii="Calibri" w:hAnsi="Calibri"/>
                <w:sz w:val="22"/>
              </w:rPr>
              <w:t>↑ Raised at 2Q26 release; capital reallocated from Dorado to oil-weighted assets in Delaware &amp; Utica</w:t>
            </w:r>
          </w:p>
        </w:tc>
      </w:tr>
      <w:tr>
        <w:tc>
          <w:tcPr>
            <w:tcW w:type="dxa" w:w="1728"/>
          </w:tcPr>
          <w:p>
            <w:r>
              <w:rPr>
                <w:rFonts w:ascii="Calibri" w:hAnsi="Calibri"/>
                <w:sz w:val="22"/>
              </w:rPr>
              <w:t>FY26 NGL Production (MBbld)</w:t>
            </w:r>
          </w:p>
        </w:tc>
        <w:tc>
          <w:tcPr>
            <w:tcW w:type="dxa" w:w="1728"/>
          </w:tcPr>
          <w:p>
            <w:r>
              <w:rPr>
                <w:rFonts w:ascii="Calibri" w:hAnsi="Calibri"/>
                <w:sz w:val="22"/>
              </w:rPr>
              <w:t>Raised by 6,000 bpd vs. prior guidance</w:t>
            </w:r>
          </w:p>
        </w:tc>
        <w:tc>
          <w:tcPr>
            <w:tcW w:type="dxa" w:w="1728"/>
          </w:tcPr>
          <w:p>
            <w:r>
              <w:rPr>
                <w:rFonts w:ascii="Calibri" w:hAnsi="Calibri"/>
                <w:sz w:val="22"/>
              </w:rPr>
              <w:t>332.0–352.0 MBbld (mid: 342.0)</w:t>
            </w:r>
          </w:p>
        </w:tc>
        <w:tc>
          <w:tcPr>
            <w:tcW w:type="dxa" w:w="1728"/>
          </w:tcPr>
          <w:p>
            <w:r>
              <w:rPr>
                <w:rFonts w:ascii="Calibri" w:hAnsi="Calibri"/>
                <w:sz w:val="22"/>
              </w:rPr>
              <w:t>~342.0 MBbld</w:t>
            </w:r>
          </w:p>
        </w:tc>
        <w:tc>
          <w:tcPr>
            <w:tcW w:type="dxa" w:w="1728"/>
          </w:tcPr>
          <w:p>
            <w:r>
              <w:rPr>
                <w:rFonts w:ascii="Calibri" w:hAnsi="Calibri"/>
                <w:sz w:val="22"/>
              </w:rPr>
              <w:t>↑ Raised at 2Q26 release alongside oil guidance</w:t>
            </w:r>
          </w:p>
        </w:tc>
      </w:tr>
      <w:tr>
        <w:tc>
          <w:tcPr>
            <w:tcW w:type="dxa" w:w="1728"/>
          </w:tcPr>
          <w:p>
            <w:r>
              <w:rPr>
                <w:rFonts w:ascii="Calibri" w:hAnsi="Calibri"/>
                <w:sz w:val="22"/>
              </w:rPr>
              <w:t>FY26 Natural Gas Production (MMcfd)</w:t>
            </w:r>
          </w:p>
        </w:tc>
        <w:tc>
          <w:tcPr>
            <w:tcW w:type="dxa" w:w="1728"/>
          </w:tcPr>
          <w:p>
            <w:r>
              <w:rPr>
                <w:rFonts w:ascii="Calibri" w:hAnsi="Calibri"/>
                <w:sz w:val="22"/>
              </w:rPr>
              <w:t>Dorado exit rate reduced from ~1 Bcf to just over 800 MMcfd</w:t>
            </w:r>
          </w:p>
        </w:tc>
        <w:tc>
          <w:tcPr>
            <w:tcW w:type="dxa" w:w="1728"/>
          </w:tcPr>
          <w:p>
            <w:r>
              <w:rPr>
                <w:rFonts w:ascii="Calibri" w:hAnsi="Calibri"/>
                <w:sz w:val="22"/>
              </w:rPr>
              <w:t>3,000–3,120 MMcfd (mid: 3,060)</w:t>
            </w:r>
          </w:p>
        </w:tc>
        <w:tc>
          <w:tcPr>
            <w:tcW w:type="dxa" w:w="1728"/>
          </w:tcPr>
          <w:p>
            <w:r>
              <w:rPr>
                <w:rFonts w:ascii="Calibri" w:hAnsi="Calibri"/>
                <w:sz w:val="22"/>
              </w:rPr>
              <w:t>~3,068 MMcfd</w:t>
            </w:r>
          </w:p>
        </w:tc>
        <w:tc>
          <w:tcPr>
            <w:tcW w:type="dxa" w:w="1728"/>
          </w:tcPr>
          <w:p>
            <w:r>
              <w:rPr>
                <w:rFonts w:ascii="Calibri" w:hAnsi="Calibri"/>
                <w:sz w:val="22"/>
              </w:rPr>
              <w:t>Dorado activity moderated; gas guidance reflects reduced near-term activity</w:t>
            </w:r>
          </w:p>
        </w:tc>
      </w:tr>
      <w:tr>
        <w:tc>
          <w:tcPr>
            <w:tcW w:type="dxa" w:w="1728"/>
          </w:tcPr>
          <w:p>
            <w:r>
              <w:rPr>
                <w:rFonts w:ascii="Calibri" w:hAnsi="Calibri"/>
                <w:sz w:val="22"/>
              </w:rPr>
              <w:t>FY26 CapEx ($B)</w:t>
            </w:r>
          </w:p>
        </w:tc>
        <w:tc>
          <w:tcPr>
            <w:tcW w:type="dxa" w:w="1728"/>
          </w:tcPr>
          <w:p>
            <w:r>
              <w:rPr>
                <w:rFonts w:ascii="Calibri" w:hAnsi="Calibri"/>
                <w:sz w:val="22"/>
              </w:rPr>
              <w:t>$6.5B midpoint (flat vs. prior)</w:t>
            </w:r>
          </w:p>
        </w:tc>
        <w:tc>
          <w:tcPr>
            <w:tcW w:type="dxa" w:w="1728"/>
          </w:tcPr>
          <w:p>
            <w:r>
              <w:rPr>
                <w:rFonts w:ascii="Calibri" w:hAnsi="Calibri"/>
                <w:sz w:val="22"/>
              </w:rPr>
              <w:t>$6.3–$6.7B (mid: $6.5B)</w:t>
            </w:r>
          </w:p>
        </w:tc>
        <w:tc>
          <w:tcPr>
            <w:tcW w:type="dxa" w:w="1728"/>
          </w:tcPr>
          <w:p>
            <w:r>
              <w:rPr>
                <w:rFonts w:ascii="Calibri" w:hAnsi="Calibri"/>
                <w:sz w:val="22"/>
              </w:rPr>
              <w:t>~$6.49B</w:t>
            </w:r>
          </w:p>
        </w:tc>
        <w:tc>
          <w:tcPr>
            <w:tcW w:type="dxa" w:w="1728"/>
          </w:tcPr>
          <w:p>
            <w:r>
              <w:rPr>
                <w:rFonts w:ascii="Calibri" w:hAnsi="Calibri"/>
                <w:sz w:val="22"/>
              </w:rPr>
              <w:t>Unchanged; capital reallocation within flat budget</w:t>
            </w:r>
          </w:p>
        </w:tc>
      </w:tr>
      <w:tr>
        <w:tc>
          <w:tcPr>
            <w:tcW w:type="dxa" w:w="1728"/>
          </w:tcPr>
          <w:p>
            <w:r>
              <w:rPr>
                <w:rFonts w:ascii="Calibri" w:hAnsi="Calibri"/>
                <w:sz w:val="22"/>
              </w:rPr>
              <w:t>FY26 Cash Op. Costs ($/Boe)</w:t>
            </w:r>
          </w:p>
        </w:tc>
        <w:tc>
          <w:tcPr>
            <w:tcW w:type="dxa" w:w="1728"/>
          </w:tcPr>
          <w:p>
            <w:r>
              <w:rPr>
                <w:rFonts w:ascii="Calibri" w:hAnsi="Calibri"/>
                <w:sz w:val="22"/>
              </w:rPr>
              <w:t>~$10.70 midpoint</w:t>
            </w:r>
          </w:p>
        </w:tc>
        <w:tc>
          <w:tcPr>
            <w:tcW w:type="dxa" w:w="1728"/>
          </w:tcPr>
          <w:p>
            <w:r>
              <w:rPr>
                <w:rFonts w:ascii="Calibri" w:hAnsi="Calibri"/>
                <w:sz w:val="22"/>
              </w:rPr>
              <w:t>$10.70 midpoint (unchanged)</w:t>
            </w:r>
          </w:p>
        </w:tc>
        <w:tc>
          <w:tcPr>
            <w:tcW w:type="dxa" w:w="1728"/>
          </w:tcPr>
          <w:p>
            <w:r>
              <w:rPr>
                <w:rFonts w:ascii="Calibri" w:hAnsi="Calibri"/>
                <w:sz w:val="22"/>
              </w:rPr>
              <w:t>N/A — not tracked in VA</w:t>
            </w:r>
          </w:p>
        </w:tc>
        <w:tc>
          <w:tcPr>
            <w:tcW w:type="dxa" w:w="1728"/>
          </w:tcPr>
          <w:p>
            <w:r>
              <w:rPr>
                <w:rFonts w:ascii="Calibri" w:hAnsi="Calibri"/>
                <w:sz w:val="22"/>
              </w:rPr>
              <w:t>2Q26 actual of $10.57 beat guidance; 3Q26 guided at $10.70</w:t>
            </w:r>
          </w:p>
        </w:tc>
      </w:tr>
      <w:tr>
        <w:tc>
          <w:tcPr>
            <w:tcW w:type="dxa" w:w="1728"/>
          </w:tcPr>
          <w:p>
            <w:r>
              <w:rPr>
                <w:rFonts w:ascii="Calibri" w:hAnsi="Calibri"/>
                <w:sz w:val="22"/>
              </w:rPr>
              <w:t>FY26 Free Cash Flow ($B)</w:t>
            </w:r>
          </w:p>
        </w:tc>
        <w:tc>
          <w:tcPr>
            <w:tcW w:type="dxa" w:w="1728"/>
          </w:tcPr>
          <w:p>
            <w:r>
              <w:rPr>
                <w:rFonts w:ascii="Calibri" w:hAnsi="Calibri"/>
                <w:sz w:val="22"/>
              </w:rPr>
              <w:t>~$8.5B projected at strip pricing (1Q26 call)</w:t>
            </w:r>
          </w:p>
        </w:tc>
        <w:tc>
          <w:tcPr>
            <w:tcW w:type="dxa" w:w="1728"/>
          </w:tcPr>
          <w:p>
            <w:r>
              <w:rPr>
                <w:rFonts w:ascii="Calibri" w:hAnsi="Calibri"/>
                <w:sz w:val="22"/>
              </w:rPr>
              <w:t>"Substantial FCF" — no specific number reiterated at 2Q26 release</w:t>
            </w:r>
          </w:p>
        </w:tc>
        <w:tc>
          <w:tcPr>
            <w:tcW w:type="dxa" w:w="1728"/>
          </w:tcPr>
          <w:p>
            <w:r>
              <w:rPr>
                <w:rFonts w:ascii="Calibri" w:hAnsi="Calibri"/>
                <w:sz w:val="22"/>
              </w:rPr>
              <w:t>~$7.96B</w:t>
            </w:r>
          </w:p>
        </w:tc>
        <w:tc>
          <w:tcPr>
            <w:tcW w:type="dxa" w:w="1728"/>
          </w:tcPr>
          <w:p>
            <w:r>
              <w:rPr>
                <w:rFonts w:ascii="Calibri" w:hAnsi="Calibri"/>
                <w:sz w:val="22"/>
              </w:rPr>
              <w:t>Less specific language at 2Q26 release vs. 1Q26 call; consensus below prior $8.5B projection</w:t>
            </w:r>
          </w:p>
        </w:tc>
      </w:tr>
      <w:tr>
        <w:tc>
          <w:tcPr>
            <w:tcW w:type="dxa" w:w="1728"/>
          </w:tcPr>
          <w:p>
            <w:r>
              <w:rPr>
                <w:rFonts w:ascii="Calibri" w:hAnsi="Calibri"/>
                <w:sz w:val="22"/>
              </w:rPr>
              <w:t>Shareholder Return</w:t>
            </w:r>
          </w:p>
        </w:tc>
        <w:tc>
          <w:tcPr>
            <w:tcW w:type="dxa" w:w="1728"/>
          </w:tcPr>
          <w:p>
            <w:r>
              <w:rPr>
                <w:rFonts w:ascii="Calibri" w:hAnsi="Calibri"/>
                <w:sz w:val="22"/>
              </w:rPr>
              <w:t>"At least 70% of record FCF" for 2026</w:t>
            </w:r>
          </w:p>
        </w:tc>
        <w:tc>
          <w:tcPr>
            <w:tcW w:type="dxa" w:w="1728"/>
          </w:tcPr>
          <w:p>
            <w:r>
              <w:rPr>
                <w:rFonts w:ascii="Calibri" w:hAnsi="Calibri"/>
                <w:sz w:val="22"/>
              </w:rPr>
              <w:t>"Opportunistic and disciplined cash returns" — no % reiterated</w:t>
            </w:r>
          </w:p>
        </w:tc>
        <w:tc>
          <w:tcPr>
            <w:tcW w:type="dxa" w:w="1728"/>
          </w:tcPr>
          <w:p>
            <w:r>
              <w:rPr>
                <w:rFonts w:ascii="Calibri" w:hAnsi="Calibri"/>
                <w:sz w:val="22"/>
              </w:rPr>
              <w:t>N/A</w:t>
            </w:r>
          </w:p>
        </w:tc>
        <w:tc>
          <w:tcPr>
            <w:tcW w:type="dxa" w:w="1728"/>
          </w:tcPr>
          <w:p>
            <w:r>
              <w:rPr>
                <w:rFonts w:ascii="Calibri" w:hAnsi="Calibri"/>
                <w:sz w:val="22"/>
              </w:rPr>
              <w:t>$11.7B remaining buyback authorization as of June 30, 2026; board doubled authorization to $20B in May 2026</w:t>
            </w:r>
          </w:p>
        </w:tc>
      </w:tr>
      <w:tr>
        <w:tc>
          <w:tcPr>
            <w:tcW w:type="dxa" w:w="1728"/>
          </w:tcPr>
          <w:p>
            <w:r>
              <w:rPr>
                <w:rFonts w:ascii="Calibri" w:hAnsi="Calibri"/>
                <w:sz w:val="22"/>
              </w:rPr>
              <w:t>UAE / International</w:t>
            </w:r>
          </w:p>
        </w:tc>
        <w:tc>
          <w:tcPr>
            <w:tcW w:type="dxa" w:w="1728"/>
          </w:tcPr>
          <w:p>
            <w:r>
              <w:rPr>
                <w:rFonts w:ascii="Calibri" w:hAnsi="Calibri"/>
                <w:sz w:val="22"/>
              </w:rPr>
              <w:t>Results expected 2H 2026; wells drilled horizontally, hydrocarbons tested to surface</w:t>
            </w:r>
          </w:p>
        </w:tc>
        <w:tc>
          <w:tcPr>
            <w:tcW w:type="dxa" w:w="1728"/>
          </w:tcPr>
          <w:p>
            <w:r>
              <w:rPr>
                <w:rFonts w:ascii="Calibri" w:hAnsi="Calibri"/>
                <w:sz w:val="22"/>
              </w:rPr>
              <w:t>UAE initial production established: 2 wells averaged &gt;25,000 cumulative barrels per well in first 30 days</w:t>
            </w:r>
          </w:p>
        </w:tc>
        <w:tc>
          <w:tcPr>
            <w:tcW w:type="dxa" w:w="1728"/>
          </w:tcPr>
          <w:p>
            <w:r>
              <w:rPr>
                <w:rFonts w:ascii="Calibri" w:hAnsi="Calibri"/>
                <w:sz w:val="22"/>
              </w:rPr>
              <w:t>N/A</w:t>
            </w:r>
          </w:p>
        </w:tc>
        <w:tc>
          <w:tcPr>
            <w:tcW w:type="dxa" w:w="1728"/>
          </w:tcPr>
          <w:p>
            <w:r>
              <w:rPr>
                <w:rFonts w:ascii="Calibri" w:hAnsi="Calibri"/>
                <w:sz w:val="22"/>
              </w:rPr>
              <w:t>↑ Significant positive surprise; Bahrain results still pending</w:t>
            </w:r>
          </w:p>
        </w:tc>
      </w:tr>
    </w:tbl>
    <w:p>
      <w:r>
        <w:rPr>
          <w:rFonts w:ascii="Calibri" w:hAnsi="Calibri"/>
          <w:b/>
          <w:color w:val="525866"/>
          <w:sz w:val="22"/>
        </w:rPr>
        <w:t xml:space="preserve">Sources: </w:t>
      </w:r>
      <w:r>
        <w:rPr>
          <w:rFonts w:ascii="Calibri" w:hAnsi="Calibri"/>
          <w:color w:val="525866"/>
          <w:sz w:val="22"/>
        </w:rPr>
        <w:t>EOG 1Q26 Earnings Call Transcript (May 6, 2026); EOG 2Q26 Earnings Release (August 4,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3Q26 and FY26 have moved sharply higher since the 1Q26 earnings print on May 5, 2026, tracking the oil price surge from the Iran conflict. Adjusted EPS estimates for FY26 rose from ~$16.1 to ~$16.2 — a modest net move that masks a large intra-period swing as oil prices first surged then partially retraced. Consensus FCF for FY26 of ~$7.96B sits below management’s prior $8.5B projection, suggesting upside risk if oil prices hold.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~5 Days Post 1Q26 Print (as of ~May 12, 2026)</w:t>
            </w:r>
          </w:p>
        </w:tc>
        <w:tc>
          <w:tcPr>
            <w:tcW w:type="dxa" w:w="1234"/>
            <w:shd w:val="clear" w:color="auto" w:fill="3B4259"/>
          </w:tcPr>
          <w:p>
            <w:r>
              <w:rPr>
                <w:rFonts w:ascii="Calibri" w:hAnsi="Calibri"/>
                <w:b/>
                <w:color w:val="FFFFFF"/>
                <w:sz w:val="22"/>
              </w:rPr>
              <w:t>Current Consensus</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(1Q26 Call)</w:t>
            </w:r>
          </w:p>
        </w:tc>
        <w:tc>
          <w:tcPr>
            <w:tcW w:type="dxa" w:w="1234"/>
            <w:shd w:val="clear" w:color="auto" w:fill="3B4259"/>
          </w:tcPr>
          <w:p>
            <w:r>
              <w:rPr>
                <w:rFonts w:ascii="Calibri" w:hAnsi="Calibri"/>
                <w:b/>
                <w:color w:val="FFFFFF"/>
                <w:sz w:val="22"/>
              </w:rPr>
              <w:t>Current Guidance (2Q26 Release)</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Adj. EPS — 3Q26</w:t>
            </w:r>
          </w:p>
        </w:tc>
        <w:tc>
          <w:tcPr>
            <w:tcW w:type="dxa" w:w="1234"/>
          </w:tcPr>
          <w:p>
            <w:r>
              <w:rPr>
                <w:rFonts w:ascii="Calibri" w:hAnsi="Calibri"/>
                <w:sz w:val="22"/>
              </w:rPr>
              <w:t>$4.18</w:t>
            </w:r>
          </w:p>
        </w:tc>
        <w:tc>
          <w:tcPr>
            <w:tcW w:type="dxa" w:w="1234"/>
          </w:tcPr>
          <w:p>
            <w:r>
              <w:rPr>
                <w:rFonts w:ascii="Calibri" w:hAnsi="Calibri"/>
                <w:sz w:val="22"/>
              </w:rPr>
              <w:t>$4.02</w:t>
            </w:r>
          </w:p>
        </w:tc>
        <w:tc>
          <w:tcPr>
            <w:tcW w:type="dxa" w:w="1234"/>
          </w:tcPr>
          <w:p>
            <w:r>
              <w:rPr>
                <w:rFonts w:ascii="Calibri" w:hAnsi="Calibri"/>
                <w:b/>
                <w:color w:val="E5484D"/>
                <w:sz w:val="22"/>
              </w:rPr>
              <w:t>-3.8%</w:t>
            </w:r>
          </w:p>
        </w:tc>
        <w:tc>
          <w:tcPr>
            <w:tcW w:type="dxa" w:w="1234"/>
          </w:tcPr>
          <w:p>
            <w:r>
              <w:rPr>
                <w:rFonts w:ascii="Calibri" w:hAnsi="Calibri"/>
                <w:sz w:val="22"/>
              </w:rPr>
              <w:t>N/A (no quarterly EPS guidance)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EPS — FY26</w:t>
            </w:r>
          </w:p>
        </w:tc>
        <w:tc>
          <w:tcPr>
            <w:tcW w:type="dxa" w:w="1234"/>
          </w:tcPr>
          <w:p>
            <w:r>
              <w:rPr>
                <w:rFonts w:ascii="Calibri" w:hAnsi="Calibri"/>
                <w:sz w:val="22"/>
              </w:rPr>
              <w:t>$16.13</w:t>
            </w:r>
          </w:p>
        </w:tc>
        <w:tc>
          <w:tcPr>
            <w:tcW w:type="dxa" w:w="1234"/>
          </w:tcPr>
          <w:p>
            <w:r>
              <w:rPr>
                <w:rFonts w:ascii="Calibri" w:hAnsi="Calibri"/>
                <w:sz w:val="22"/>
              </w:rPr>
              <w:t>$16.22</w:t>
            </w:r>
          </w:p>
        </w:tc>
        <w:tc>
          <w:tcPr>
            <w:tcW w:type="dxa" w:w="1234"/>
          </w:tcPr>
          <w:p>
            <w:r>
              <w:rPr>
                <w:rFonts w:ascii="Calibri" w:hAnsi="Calibri"/>
                <w:b/>
                <w:color w:val="30A46C"/>
                <w:sz w:val="22"/>
              </w:rPr>
              <w:t>+0.6%</w:t>
            </w:r>
          </w:p>
        </w:tc>
        <w:tc>
          <w:tcPr>
            <w:tcW w:type="dxa" w:w="1234"/>
          </w:tcPr>
          <w:p>
            <w:r>
              <w:rPr>
                <w:rFonts w:ascii="Calibri" w:hAnsi="Calibri"/>
                <w:sz w:val="22"/>
              </w:rPr>
              <w:t>N/A (no EPS guidance)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Oil Production — 3Q26 (MBod)</w:t>
            </w:r>
          </w:p>
        </w:tc>
        <w:tc>
          <w:tcPr>
            <w:tcW w:type="dxa" w:w="1234"/>
          </w:tcPr>
          <w:p>
            <w:r>
              <w:rPr>
                <w:rFonts w:ascii="Calibri" w:hAnsi="Calibri"/>
                <w:sz w:val="22"/>
              </w:rPr>
              <w:t>550.2</w:t>
            </w:r>
          </w:p>
        </w:tc>
        <w:tc>
          <w:tcPr>
            <w:tcW w:type="dxa" w:w="1234"/>
          </w:tcPr>
          <w:p>
            <w:r>
              <w:rPr>
                <w:rFonts w:ascii="Calibri" w:hAnsi="Calibri"/>
                <w:sz w:val="22"/>
              </w:rPr>
              <w:t>550.0</w:t>
            </w:r>
          </w:p>
        </w:tc>
        <w:tc>
          <w:tcPr>
            <w:tcW w:type="dxa" w:w="1234"/>
          </w:tcPr>
          <w:p>
            <w:r>
              <w:rPr>
                <w:rFonts w:ascii="Calibri" w:hAnsi="Calibri"/>
                <w:sz w:val="22"/>
              </w:rPr>
              <w:t>-0.0%</w:t>
            </w:r>
          </w:p>
        </w:tc>
        <w:tc>
          <w:tcPr>
            <w:tcW w:type="dxa" w:w="1234"/>
          </w:tcPr>
          <w:p>
            <w:r>
              <w:rPr>
                <w:rFonts w:ascii="Calibri" w:hAnsi="Calibri"/>
                <w:sz w:val="22"/>
              </w:rPr>
              <w:t>N/A (prior to 2Q26 release)</w:t>
            </w:r>
          </w:p>
        </w:tc>
        <w:tc>
          <w:tcPr>
            <w:tcW w:type="dxa" w:w="1234"/>
          </w:tcPr>
          <w:p>
            <w:r>
              <w:rPr>
                <w:rFonts w:ascii="Calibri" w:hAnsi="Calibri"/>
                <w:sz w:val="22"/>
              </w:rPr>
              <w:t>546.0–551.0 MBod (mid: 548.5)</w:t>
            </w:r>
          </w:p>
        </w:tc>
        <w:tc>
          <w:tcPr>
            <w:tcW w:type="dxa" w:w="1234"/>
          </w:tcPr>
          <w:p>
            <w:r>
              <w:rPr>
                <w:rFonts w:ascii="Calibri" w:hAnsi="Calibri"/>
                <w:sz w:val="22"/>
              </w:rPr>
              <w:t>+0.3% vs. mid</w:t>
            </w:r>
          </w:p>
        </w:tc>
      </w:tr>
      <w:tr>
        <w:tc>
          <w:tcPr>
            <w:tcW w:type="dxa" w:w="1234"/>
          </w:tcPr>
          <w:p>
            <w:r>
              <w:rPr>
                <w:rFonts w:ascii="Calibri" w:hAnsi="Calibri"/>
                <w:sz w:val="22"/>
              </w:rPr>
              <w:t>Oil Production — FY26 (MBod)</w:t>
            </w:r>
          </w:p>
        </w:tc>
        <w:tc>
          <w:tcPr>
            <w:tcW w:type="dxa" w:w="1234"/>
          </w:tcPr>
          <w:p>
            <w:r>
              <w:rPr>
                <w:rFonts w:ascii="Calibri" w:hAnsi="Calibri"/>
                <w:sz w:val="22"/>
              </w:rPr>
              <w:t>549.4</w:t>
            </w:r>
          </w:p>
        </w:tc>
        <w:tc>
          <w:tcPr>
            <w:tcW w:type="dxa" w:w="1234"/>
          </w:tcPr>
          <w:p>
            <w:r>
              <w:rPr>
                <w:rFonts w:ascii="Calibri" w:hAnsi="Calibri"/>
                <w:sz w:val="22"/>
              </w:rPr>
              <w:t>549.7</w:t>
            </w:r>
          </w:p>
        </w:tc>
        <w:tc>
          <w:tcPr>
            <w:tcW w:type="dxa" w:w="1234"/>
          </w:tcPr>
          <w:p>
            <w:r>
              <w:rPr>
                <w:rFonts w:ascii="Calibri" w:hAnsi="Calibri"/>
                <w:sz w:val="22"/>
              </w:rPr>
              <w:t>+0.1%</w:t>
            </w:r>
          </w:p>
        </w:tc>
        <w:tc>
          <w:tcPr>
            <w:tcW w:type="dxa" w:w="1234"/>
          </w:tcPr>
          <w:p>
            <w:r>
              <w:rPr>
                <w:rFonts w:ascii="Calibri" w:hAnsi="Calibri"/>
                <w:sz w:val="22"/>
              </w:rPr>
              <w:t>Raised by 2,000 bpd at 1Q26 call</w:t>
            </w:r>
          </w:p>
        </w:tc>
        <w:tc>
          <w:tcPr>
            <w:tcW w:type="dxa" w:w="1234"/>
          </w:tcPr>
          <w:p>
            <w:r>
              <w:rPr>
                <w:rFonts w:ascii="Calibri" w:hAnsi="Calibri"/>
                <w:sz w:val="22"/>
              </w:rPr>
              <w:t>546.3–551.1 MBod (mid: 548.7)</w:t>
            </w:r>
          </w:p>
        </w:tc>
        <w:tc>
          <w:tcPr>
            <w:tcW w:type="dxa" w:w="1234"/>
          </w:tcPr>
          <w:p>
            <w:r>
              <w:rPr>
                <w:rFonts w:ascii="Calibri" w:hAnsi="Calibri"/>
                <w:sz w:val="22"/>
              </w:rPr>
              <w:t>+0.2% vs. mid</w:t>
            </w:r>
          </w:p>
        </w:tc>
      </w:tr>
      <w:tr>
        <w:tc>
          <w:tcPr>
            <w:tcW w:type="dxa" w:w="1234"/>
          </w:tcPr>
          <w:p>
            <w:r>
              <w:rPr>
                <w:rFonts w:ascii="Calibri" w:hAnsi="Calibri"/>
                <w:sz w:val="22"/>
              </w:rPr>
              <w:t>Total Production — 3Q26 (MBoed)</w:t>
            </w:r>
          </w:p>
        </w:tc>
        <w:tc>
          <w:tcPr>
            <w:tcW w:type="dxa" w:w="1234"/>
          </w:tcPr>
          <w:p>
            <w:r>
              <w:rPr>
                <w:rFonts w:ascii="Calibri" w:hAnsi="Calibri"/>
                <w:sz w:val="22"/>
              </w:rPr>
              <w:t>1,406.3</w:t>
            </w:r>
          </w:p>
        </w:tc>
        <w:tc>
          <w:tcPr>
            <w:tcW w:type="dxa" w:w="1234"/>
          </w:tcPr>
          <w:p>
            <w:r>
              <w:rPr>
                <w:rFonts w:ascii="Calibri" w:hAnsi="Calibri"/>
                <w:sz w:val="22"/>
              </w:rPr>
              <w:t>1,403.8</w:t>
            </w:r>
          </w:p>
        </w:tc>
        <w:tc>
          <w:tcPr>
            <w:tcW w:type="dxa" w:w="1234"/>
          </w:tcPr>
          <w:p>
            <w:r>
              <w:rPr>
                <w:rFonts w:ascii="Calibri" w:hAnsi="Calibri"/>
                <w:sz w:val="22"/>
              </w:rPr>
              <w:t>-0.2%</w:t>
            </w:r>
          </w:p>
        </w:tc>
        <w:tc>
          <w:tcPr>
            <w:tcW w:type="dxa" w:w="1234"/>
          </w:tcPr>
          <w:p>
            <w:r>
              <w:rPr>
                <w:rFonts w:ascii="Calibri" w:hAnsi="Calibri"/>
                <w:sz w:val="22"/>
              </w:rPr>
              <w:t>N/A</w:t>
            </w:r>
          </w:p>
        </w:tc>
        <w:tc>
          <w:tcPr>
            <w:tcW w:type="dxa" w:w="1234"/>
          </w:tcPr>
          <w:p>
            <w:r>
              <w:rPr>
                <w:rFonts w:ascii="Calibri" w:hAnsi="Calibri"/>
                <w:sz w:val="22"/>
              </w:rPr>
              <w:t>1,389.7–1,434.7 MBoed (mid: 1,412.2)</w:t>
            </w:r>
          </w:p>
        </w:tc>
        <w:tc>
          <w:tcPr>
            <w:tcW w:type="dxa" w:w="1234"/>
          </w:tcPr>
          <w:p>
            <w:r>
              <w:rPr>
                <w:rFonts w:ascii="Calibri" w:hAnsi="Calibri"/>
                <w:sz w:val="22"/>
              </w:rPr>
              <w:t>-0.6% vs. mid</w:t>
            </w:r>
          </w:p>
        </w:tc>
      </w:tr>
      <w:tr>
        <w:tc>
          <w:tcPr>
            <w:tcW w:type="dxa" w:w="1234"/>
          </w:tcPr>
          <w:p>
            <w:r>
              <w:rPr>
                <w:rFonts w:ascii="Calibri" w:hAnsi="Calibri"/>
                <w:sz w:val="22"/>
              </w:rPr>
              <w:t>Total Production — FY26 (MBoed)</w:t>
            </w:r>
          </w:p>
        </w:tc>
        <w:tc>
          <w:tcPr>
            <w:tcW w:type="dxa" w:w="1234"/>
          </w:tcPr>
          <w:p>
            <w:r>
              <w:rPr>
                <w:rFonts w:ascii="Calibri" w:hAnsi="Calibri"/>
                <w:sz w:val="22"/>
              </w:rPr>
              <w:t>1,400.8</w:t>
            </w:r>
          </w:p>
        </w:tc>
        <w:tc>
          <w:tcPr>
            <w:tcW w:type="dxa" w:w="1234"/>
          </w:tcPr>
          <w:p>
            <w:r>
              <w:rPr>
                <w:rFonts w:ascii="Calibri" w:hAnsi="Calibri"/>
                <w:sz w:val="22"/>
              </w:rPr>
              <w:t>1,400.4</w:t>
            </w:r>
          </w:p>
        </w:tc>
        <w:tc>
          <w:tcPr>
            <w:tcW w:type="dxa" w:w="1234"/>
          </w:tcPr>
          <w:p>
            <w:r>
              <w:rPr>
                <w:rFonts w:ascii="Calibri" w:hAnsi="Calibri"/>
                <w:sz w:val="22"/>
              </w:rPr>
              <w:t>-0.0%</w:t>
            </w:r>
          </w:p>
        </w:tc>
        <w:tc>
          <w:tcPr>
            <w:tcW w:type="dxa" w:w="1234"/>
          </w:tcPr>
          <w:p>
            <w:r>
              <w:rPr>
                <w:rFonts w:ascii="Calibri" w:hAnsi="Calibri"/>
                <w:sz w:val="22"/>
              </w:rPr>
              <w:t>N/A</w:t>
            </w:r>
          </w:p>
        </w:tc>
        <w:tc>
          <w:tcPr>
            <w:tcW w:type="dxa" w:w="1234"/>
          </w:tcPr>
          <w:p>
            <w:r>
              <w:rPr>
                <w:rFonts w:ascii="Calibri" w:hAnsi="Calibri"/>
                <w:sz w:val="22"/>
              </w:rPr>
              <w:t>1,378.3–1,423.1 MBoed (mid: 1,400.7)</w:t>
            </w:r>
          </w:p>
        </w:tc>
        <w:tc>
          <w:tcPr>
            <w:tcW w:type="dxa" w:w="1234"/>
          </w:tcPr>
          <w:p>
            <w:r>
              <w:rPr>
                <w:rFonts w:ascii="Calibri" w:hAnsi="Calibri"/>
                <w:sz w:val="22"/>
              </w:rPr>
              <w:t>-0.0% vs. mid</w:t>
            </w:r>
          </w:p>
        </w:tc>
      </w:tr>
      <w:tr>
        <w:tc>
          <w:tcPr>
            <w:tcW w:type="dxa" w:w="1234"/>
          </w:tcPr>
          <w:p>
            <w:r>
              <w:rPr>
                <w:rFonts w:ascii="Calibri" w:hAnsi="Calibri"/>
                <w:sz w:val="22"/>
              </w:rPr>
              <w:t>CapEx — FY26 ($B)</w:t>
            </w:r>
          </w:p>
        </w:tc>
        <w:tc>
          <w:tcPr>
            <w:tcW w:type="dxa" w:w="1234"/>
          </w:tcPr>
          <w:p>
            <w:r>
              <w:rPr>
                <w:rFonts w:ascii="Calibri" w:hAnsi="Calibri"/>
                <w:sz w:val="22"/>
              </w:rPr>
              <w:t>$6.57B</w:t>
            </w:r>
          </w:p>
        </w:tc>
        <w:tc>
          <w:tcPr>
            <w:tcW w:type="dxa" w:w="1234"/>
          </w:tcPr>
          <w:p>
            <w:r>
              <w:rPr>
                <w:rFonts w:ascii="Calibri" w:hAnsi="Calibri"/>
                <w:sz w:val="22"/>
              </w:rPr>
              <w:t>$6.49B</w:t>
            </w:r>
          </w:p>
        </w:tc>
        <w:tc>
          <w:tcPr>
            <w:tcW w:type="dxa" w:w="1234"/>
          </w:tcPr>
          <w:p>
            <w:r>
              <w:rPr>
                <w:rFonts w:ascii="Calibri" w:hAnsi="Calibri"/>
                <w:b/>
                <w:color w:val="30A46C"/>
                <w:sz w:val="22"/>
              </w:rPr>
              <w:t>-1.2%</w:t>
            </w:r>
          </w:p>
        </w:tc>
        <w:tc>
          <w:tcPr>
            <w:tcW w:type="dxa" w:w="1234"/>
          </w:tcPr>
          <w:p>
            <w:r>
              <w:rPr>
                <w:rFonts w:ascii="Calibri" w:hAnsi="Calibri"/>
                <w:sz w:val="22"/>
              </w:rPr>
              <w:t>$6.5B midpoint</w:t>
            </w:r>
          </w:p>
        </w:tc>
        <w:tc>
          <w:tcPr>
            <w:tcW w:type="dxa" w:w="1234"/>
          </w:tcPr>
          <w:p>
            <w:r>
              <w:rPr>
                <w:rFonts w:ascii="Calibri" w:hAnsi="Calibri"/>
                <w:sz w:val="22"/>
              </w:rPr>
              <w:t>$6.3–$6.7B (mid: $6.5B)</w:t>
            </w:r>
          </w:p>
        </w:tc>
        <w:tc>
          <w:tcPr>
            <w:tcW w:type="dxa" w:w="1234"/>
          </w:tcPr>
          <w:p>
            <w:r>
              <w:rPr>
                <w:rFonts w:ascii="Calibri" w:hAnsi="Calibri"/>
                <w:sz w:val="22"/>
              </w:rPr>
              <w:t>-0.2% vs. mid</w:t>
            </w:r>
          </w:p>
        </w:tc>
      </w:tr>
      <w:tr>
        <w:tc>
          <w:tcPr>
            <w:tcW w:type="dxa" w:w="1234"/>
          </w:tcPr>
          <w:p>
            <w:r>
              <w:rPr>
                <w:rFonts w:ascii="Calibri" w:hAnsi="Calibri"/>
                <w:sz w:val="22"/>
              </w:rPr>
              <w:t>Free Cash Flow — FY26 ($B)</w:t>
            </w:r>
          </w:p>
        </w:tc>
        <w:tc>
          <w:tcPr>
            <w:tcW w:type="dxa" w:w="1234"/>
          </w:tcPr>
          <w:p>
            <w:r>
              <w:rPr>
                <w:rFonts w:ascii="Calibri" w:hAnsi="Calibri"/>
                <w:sz w:val="22"/>
              </w:rPr>
              <w:t>$7.71B</w:t>
            </w:r>
          </w:p>
        </w:tc>
        <w:tc>
          <w:tcPr>
            <w:tcW w:type="dxa" w:w="1234"/>
          </w:tcPr>
          <w:p>
            <w:r>
              <w:rPr>
                <w:rFonts w:ascii="Calibri" w:hAnsi="Calibri"/>
                <w:sz w:val="22"/>
              </w:rPr>
              <w:t>$7.96B</w:t>
            </w:r>
          </w:p>
        </w:tc>
        <w:tc>
          <w:tcPr>
            <w:tcW w:type="dxa" w:w="1234"/>
          </w:tcPr>
          <w:p>
            <w:r>
              <w:rPr>
                <w:rFonts w:ascii="Calibri" w:hAnsi="Calibri"/>
                <w:b/>
                <w:color w:val="30A46C"/>
                <w:sz w:val="22"/>
              </w:rPr>
              <w:t>+3.2%</w:t>
            </w:r>
          </w:p>
        </w:tc>
        <w:tc>
          <w:tcPr>
            <w:tcW w:type="dxa" w:w="1234"/>
          </w:tcPr>
          <w:p>
            <w:r>
              <w:rPr>
                <w:rFonts w:ascii="Calibri" w:hAnsi="Calibri"/>
                <w:sz w:val="22"/>
              </w:rPr>
              <w:t>~$8.5B (1Q26 call, at strip)</w:t>
            </w:r>
          </w:p>
        </w:tc>
        <w:tc>
          <w:tcPr>
            <w:tcW w:type="dxa" w:w="1234"/>
          </w:tcPr>
          <w:p>
            <w:r>
              <w:rPr>
                <w:rFonts w:ascii="Calibri" w:hAnsi="Calibri"/>
                <w:sz w:val="22"/>
              </w:rPr>
              <w:t>"Substantial FCF" (no specific target)</w:t>
            </w:r>
          </w:p>
        </w:tc>
        <w:tc>
          <w:tcPr>
            <w:tcW w:type="dxa" w:w="1234"/>
          </w:tcPr>
          <w:p>
            <w:r>
              <w:rPr>
                <w:rFonts w:ascii="Calibri" w:hAnsi="Calibri"/>
                <w:sz w:val="22"/>
              </w:rPr>
              <w:t>-6.4% vs. prior $8.5B target</w:t>
            </w:r>
          </w:p>
        </w:tc>
      </w:tr>
      <w:tr>
        <w:tc>
          <w:tcPr>
            <w:tcW w:type="dxa" w:w="1234"/>
          </w:tcPr>
          <w:p>
            <w:r>
              <w:rPr>
                <w:rFonts w:ascii="Calibri" w:hAnsi="Calibri"/>
                <w:sz w:val="22"/>
              </w:rPr>
              <w:t>Revenue — FY26 ($B)</w:t>
            </w:r>
          </w:p>
        </w:tc>
        <w:tc>
          <w:tcPr>
            <w:tcW w:type="dxa" w:w="1234"/>
          </w:tcPr>
          <w:p>
            <w:r>
              <w:rPr>
                <w:rFonts w:ascii="Calibri" w:hAnsi="Calibri"/>
                <w:sz w:val="22"/>
              </w:rPr>
              <w:t>$27.95B</w:t>
            </w:r>
          </w:p>
        </w:tc>
        <w:tc>
          <w:tcPr>
            <w:tcW w:type="dxa" w:w="1234"/>
          </w:tcPr>
          <w:p>
            <w:r>
              <w:rPr>
                <w:rFonts w:ascii="Calibri" w:hAnsi="Calibri"/>
                <w:sz w:val="22"/>
              </w:rPr>
              <w:t>$29.18B</w:t>
            </w:r>
          </w:p>
        </w:tc>
        <w:tc>
          <w:tcPr>
            <w:tcW w:type="dxa" w:w="1234"/>
          </w:tcPr>
          <w:p>
            <w:r>
              <w:rPr>
                <w:rFonts w:ascii="Calibri" w:hAnsi="Calibri"/>
                <w:b/>
                <w:color w:val="30A46C"/>
                <w:sz w:val="22"/>
              </w:rPr>
              <w:t>+4.4%</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Estimates for FY26 EPS and FCF have drifted modestly higher since the 1Q26 print, but consensus FCF of ~$7.96B remains below management’s prior $8.5B projection — a gap that represents potential upside if oil prices hold in the high-$70s to $80 range as management projected. The 3Q26 EPS estimate of $4.02 is down slightly from the post-1Q26 baseline of $4.18, likely reflecting partial Hormuz reopening expectations embedded in the forward strip.</w:t>
      </w:r>
    </w:p>
    <w:p>
      <w:r>
        <w:rPr>
          <w:rFonts w:ascii="Calibri" w:hAnsi="Calibri"/>
          <w:b/>
          <w:color w:val="525866"/>
          <w:sz w:val="22"/>
        </w:rPr>
        <w:t xml:space="preserve">Source: </w:t>
      </w:r>
      <w:r>
        <w:rPr>
          <w:rFonts w:ascii="Calibri" w:hAnsi="Calibri"/>
          <w:color w:val="525866"/>
          <w:sz w:val="22"/>
        </w:rPr>
        <w:t>Visible Alpha Consensus and Actuals Data (all KPIs); EOG 1Q26 Earnings Call Transcript (May 6, 2026); EOG 2Q26 Earnings Release (August 4, 2026). Baseline as of approximately May 12, 2026 (5 trading days post-1Q26 print).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EOG is up </w:t>
      </w:r>
      <w:r>
        <w:rPr>
          <w:rFonts w:ascii="Calibri" w:hAnsi="Calibri"/>
          <w:b/>
          <w:color w:val="525866"/>
          <w:sz w:val="22"/>
        </w:rPr>
        <w:t>+32.4% over the past 6 months</w:t>
      </w:r>
      <w:r>
        <w:rPr>
          <w:rFonts w:ascii="Calibri" w:hAnsi="Calibri"/>
          <w:color w:val="525866"/>
          <w:sz w:val="22"/>
        </w:rPr>
        <w:t xml:space="preserve"> and </w:t>
      </w:r>
      <w:r>
        <w:rPr>
          <w:rFonts w:ascii="Calibri" w:hAnsi="Calibri"/>
          <w:b/>
          <w:color w:val="525866"/>
          <w:sz w:val="22"/>
        </w:rPr>
        <w:t>+10.9% over the past month</w:t>
      </w:r>
      <w:r>
        <w:rPr>
          <w:rFonts w:ascii="Calibri" w:hAnsi="Calibri"/>
          <w:color w:val="525866"/>
          <w:sz w:val="22"/>
        </w:rPr>
        <w:t xml:space="preserve">, driven primarily by </w:t>
      </w:r>
      <w:r>
        <w:rPr>
          <w:rFonts w:ascii="Calibri" w:hAnsi="Calibri"/>
          <w:b/>
          <w:color w:val="525866"/>
          <w:sz w:val="22"/>
        </w:rPr>
        <w:t>earnings growth rather than multiple expansion</w:t>
      </w:r>
      <w:r>
        <w:rPr>
          <w:rFonts w:ascii="Calibri" w:hAnsi="Calibri"/>
          <w:color w:val="525866"/>
          <w:sz w:val="22"/>
        </w:rPr>
        <w:t xml:space="preserve"> — the EV/EBITDA multiple has actually compressed ~5.6% over 6 months even as the stock surged, meaning the entire 6-month move was FCF/earnings driven. The stock trades at a </w:t>
      </w:r>
      <w:r>
        <w:rPr>
          <w:rFonts w:ascii="Calibri" w:hAnsi="Calibri"/>
          <w:b/>
          <w:color w:val="525866"/>
          <w:sz w:val="22"/>
        </w:rPr>
        <w:t>9.7x NTM P/E and 5.3x NTM EV/EBITDA</w:t>
      </w:r>
      <w:r>
        <w:rPr>
          <w:rFonts w:ascii="Calibri" w:hAnsi="Calibri"/>
          <w:color w:val="525866"/>
          <w:sz w:val="22"/>
        </w:rPr>
        <w:t>, a meaningful discount to historical averages and the broader energy sector, consistent with management’s own characterization of a “large dislocation in valuations.”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EOG Price Change</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b/>
                <w:color w:val="30A46C"/>
                <w:sz w:val="22"/>
              </w:rPr>
              <w:t>+10.9%</w:t>
            </w:r>
          </w:p>
        </w:tc>
        <w:tc>
          <w:tcPr>
            <w:tcW w:type="dxa" w:w="1440"/>
          </w:tcPr>
          <w:p>
            <w:r>
              <w:rPr>
                <w:rFonts w:ascii="Calibri" w:hAnsi="Calibri"/>
                <w:sz w:val="22"/>
              </w:rPr>
              <w:t>4.69x</w:t>
            </w:r>
          </w:p>
        </w:tc>
        <w:tc>
          <w:tcPr>
            <w:tcW w:type="dxa" w:w="1440"/>
          </w:tcPr>
          <w:p>
            <w:r>
              <w:rPr>
                <w:rFonts w:ascii="Calibri" w:hAnsi="Calibri"/>
                <w:sz w:val="22"/>
              </w:rPr>
              <w:t>5.27x</w:t>
            </w:r>
          </w:p>
        </w:tc>
        <w:tc>
          <w:tcPr>
            <w:tcW w:type="dxa" w:w="1440"/>
          </w:tcPr>
          <w:p>
            <w:r>
              <w:rPr>
                <w:rFonts w:ascii="Calibri" w:hAnsi="Calibri"/>
                <w:sz w:val="22"/>
              </w:rPr>
              <w:t>+12.4%</w:t>
            </w:r>
          </w:p>
        </w:tc>
        <w:tc>
          <w:tcPr>
            <w:tcW w:type="dxa" w:w="1440"/>
          </w:tcPr>
          <w:p>
            <w:r>
              <w:rPr>
                <w:rFonts w:ascii="Calibri" w:hAnsi="Calibri"/>
                <w:sz w:val="22"/>
              </w:rPr>
              <w:t>Multiple expansion + earnings</w:t>
            </w:r>
          </w:p>
        </w:tc>
      </w:tr>
      <w:tr>
        <w:tc>
          <w:tcPr>
            <w:tcW w:type="dxa" w:w="1440"/>
          </w:tcPr>
          <w:p>
            <w:r>
              <w:rPr>
                <w:rFonts w:ascii="Calibri" w:hAnsi="Calibri"/>
                <w:sz w:val="22"/>
              </w:rPr>
              <w:t>3 Months</w:t>
            </w:r>
          </w:p>
        </w:tc>
        <w:tc>
          <w:tcPr>
            <w:tcW w:type="dxa" w:w="1440"/>
          </w:tcPr>
          <w:p>
            <w:r>
              <w:rPr>
                <w:rFonts w:ascii="Calibri" w:hAnsi="Calibri"/>
                <w:sz w:val="22"/>
              </w:rPr>
              <w:t>+1.4%</w:t>
            </w:r>
          </w:p>
        </w:tc>
        <w:tc>
          <w:tcPr>
            <w:tcW w:type="dxa" w:w="1440"/>
          </w:tcPr>
          <w:p>
            <w:r>
              <w:rPr>
                <w:rFonts w:ascii="Calibri" w:hAnsi="Calibri"/>
                <w:sz w:val="22"/>
              </w:rPr>
              <w:t>5.10x</w:t>
            </w:r>
          </w:p>
        </w:tc>
        <w:tc>
          <w:tcPr>
            <w:tcW w:type="dxa" w:w="1440"/>
          </w:tcPr>
          <w:p>
            <w:r>
              <w:rPr>
                <w:rFonts w:ascii="Calibri" w:hAnsi="Calibri"/>
                <w:sz w:val="22"/>
              </w:rPr>
              <w:t>5.27x</w:t>
            </w:r>
          </w:p>
        </w:tc>
        <w:tc>
          <w:tcPr>
            <w:tcW w:type="dxa" w:w="1440"/>
          </w:tcPr>
          <w:p>
            <w:r>
              <w:rPr>
                <w:rFonts w:ascii="Calibri" w:hAnsi="Calibri"/>
                <w:sz w:val="22"/>
              </w:rPr>
              <w:t>+3.3%</w:t>
            </w:r>
          </w:p>
        </w:tc>
        <w:tc>
          <w:tcPr>
            <w:tcW w:type="dxa" w:w="1440"/>
          </w:tcPr>
          <w:p>
            <w:r>
              <w:rPr>
                <w:rFonts w:ascii="Calibri" w:hAnsi="Calibri"/>
                <w:sz w:val="22"/>
              </w:rPr>
              <w:t>Multiple-led; earnings flat</w:t>
            </w:r>
          </w:p>
        </w:tc>
      </w:tr>
      <w:tr>
        <w:tc>
          <w:tcPr>
            <w:tcW w:type="dxa" w:w="1440"/>
          </w:tcPr>
          <w:p>
            <w:r>
              <w:rPr>
                <w:rFonts w:ascii="Calibri" w:hAnsi="Calibri"/>
                <w:sz w:val="22"/>
              </w:rPr>
              <w:t>6 Months</w:t>
            </w:r>
          </w:p>
        </w:tc>
        <w:tc>
          <w:tcPr>
            <w:tcW w:type="dxa" w:w="1440"/>
          </w:tcPr>
          <w:p>
            <w:r>
              <w:rPr>
                <w:rFonts w:ascii="Calibri" w:hAnsi="Calibri"/>
                <w:b/>
                <w:color w:val="30A46C"/>
                <w:sz w:val="22"/>
              </w:rPr>
              <w:t>+32.4%</w:t>
            </w:r>
          </w:p>
        </w:tc>
        <w:tc>
          <w:tcPr>
            <w:tcW w:type="dxa" w:w="1440"/>
          </w:tcPr>
          <w:p>
            <w:r>
              <w:rPr>
                <w:rFonts w:ascii="Calibri" w:hAnsi="Calibri"/>
                <w:sz w:val="22"/>
              </w:rPr>
              <w:t>5.58x</w:t>
            </w:r>
          </w:p>
        </w:tc>
        <w:tc>
          <w:tcPr>
            <w:tcW w:type="dxa" w:w="1440"/>
          </w:tcPr>
          <w:p>
            <w:r>
              <w:rPr>
                <w:rFonts w:ascii="Calibri" w:hAnsi="Calibri"/>
                <w:sz w:val="22"/>
              </w:rPr>
              <w:t>5.27x</w:t>
            </w:r>
          </w:p>
        </w:tc>
        <w:tc>
          <w:tcPr>
            <w:tcW w:type="dxa" w:w="1440"/>
          </w:tcPr>
          <w:p>
            <w:r>
              <w:rPr>
                <w:rFonts w:ascii="Calibri" w:hAnsi="Calibri"/>
                <w:b/>
                <w:color w:val="E5484D"/>
                <w:sz w:val="22"/>
              </w:rPr>
              <w:t>-5.6%</w:t>
            </w:r>
          </w:p>
        </w:tc>
        <w:tc>
          <w:tcPr>
            <w:tcW w:type="dxa" w:w="1440"/>
          </w:tcPr>
          <w:p>
            <w:r>
              <w:rPr>
                <w:rFonts w:ascii="Calibri" w:hAnsi="Calibri"/>
                <w:sz w:val="22"/>
              </w:rPr>
              <w:t>Entirely earnings/FCF driven; multiple compressed</w:t>
            </w:r>
          </w:p>
        </w:tc>
      </w:tr>
      <w:tr>
        <w:tc>
          <w:tcPr>
            <w:tcW w:type="dxa" w:w="1440"/>
          </w:tcPr>
          <w:p>
            <w:r>
              <w:rPr>
                <w:rFonts w:ascii="Calibri" w:hAnsi="Calibri"/>
                <w:sz w:val="22"/>
              </w:rPr>
              <w:t>12 Months</w:t>
            </w:r>
          </w:p>
        </w:tc>
        <w:tc>
          <w:tcPr>
            <w:tcW w:type="dxa" w:w="1440"/>
          </w:tcPr>
          <w:p>
            <w:r>
              <w:rPr>
                <w:rFonts w:ascii="Calibri" w:hAnsi="Calibri"/>
                <w:b/>
                <w:color w:val="30A46C"/>
                <w:sz w:val="22"/>
              </w:rPr>
              <w:t>+23.1%</w:t>
            </w:r>
          </w:p>
        </w:tc>
        <w:tc>
          <w:tcPr>
            <w:tcW w:type="dxa" w:w="1440"/>
          </w:tcPr>
          <w:p>
            <w:r>
              <w:rPr>
                <w:rFonts w:ascii="Calibri" w:hAnsi="Calibri"/>
                <w:sz w:val="22"/>
              </w:rPr>
              <w:t>5.25x</w:t>
            </w:r>
          </w:p>
        </w:tc>
        <w:tc>
          <w:tcPr>
            <w:tcW w:type="dxa" w:w="1440"/>
          </w:tcPr>
          <w:p>
            <w:r>
              <w:rPr>
                <w:rFonts w:ascii="Calibri" w:hAnsi="Calibri"/>
                <w:sz w:val="22"/>
              </w:rPr>
              <w:t>5.27x</w:t>
            </w:r>
          </w:p>
        </w:tc>
        <w:tc>
          <w:tcPr>
            <w:tcW w:type="dxa" w:w="1440"/>
          </w:tcPr>
          <w:p>
            <w:r>
              <w:rPr>
                <w:rFonts w:ascii="Calibri" w:hAnsi="Calibri"/>
                <w:sz w:val="22"/>
              </w:rPr>
              <w:t>+0.3%</w:t>
            </w:r>
          </w:p>
        </w:tc>
        <w:tc>
          <w:tcPr>
            <w:tcW w:type="dxa" w:w="1440"/>
          </w:tcPr>
          <w:p>
            <w:r>
              <w:rPr>
                <w:rFonts w:ascii="Calibri" w:hAnsi="Calibri"/>
                <w:sz w:val="22"/>
              </w:rPr>
              <w:t>Entirely earnings/FCF driven; multiple flat</w:t>
            </w:r>
          </w:p>
        </w:tc>
      </w:tr>
    </w:tbl>
    <w:p>
      <w:r>
        <w:rPr>
          <w:rFonts w:ascii="Calibri" w:hAnsi="Calibri"/>
          <w:b/>
          <w:color w:val="525866"/>
          <w:sz w:val="22"/>
        </w:rPr>
        <w:t xml:space="preserve">Current NTM Multiples (as of August 4, 2026): </w:t>
      </w:r>
      <w:r>
        <w:rPr>
          <w:rFonts w:ascii="Calibri" w:hAnsi="Calibri"/>
          <w:color w:val="525866"/>
          <w:sz w:val="22"/>
        </w:rPr>
        <w:t>EV/EBITDA: 5.27x | P/E: 9.66x | P/FCF: 9.90x | EV/Sales: 2.90x | P/Book: 2.16x</w:t>
      </w:r>
    </w:p>
    <w:p>
      <w:r>
        <w:rPr>
          <w:rFonts w:ascii="Calibri" w:hAnsi="Calibri"/>
          <w:b/>
          <w:color w:val="525866"/>
          <w:sz w:val="22"/>
        </w:rPr>
        <w:t xml:space="preserve">Key Observation: </w:t>
      </w:r>
      <w:r>
        <w:rPr>
          <w:rFonts w:ascii="Calibri" w:hAnsi="Calibri"/>
          <w:color w:val="525866"/>
          <w:sz w:val="22"/>
        </w:rPr>
        <w:t xml:space="preserve">The 6-month and 12-month performance decomposition is striking — EOG’s stock is up materially but the EV/EBITDA multiple has actually </w:t>
      </w:r>
      <w:r>
        <w:rPr>
          <w:rFonts w:ascii="Calibri" w:hAnsi="Calibri"/>
          <w:b/>
          <w:color w:val="525866"/>
          <w:sz w:val="22"/>
        </w:rPr>
        <w:t>compressed</w:t>
      </w:r>
      <w:r>
        <w:rPr>
          <w:rFonts w:ascii="Calibri" w:hAnsi="Calibri"/>
          <w:color w:val="525866"/>
          <w:sz w:val="22"/>
        </w:rPr>
        <w:t xml:space="preserve"> over 6 months (-5.6%) and is essentially flat over 12 months (+0.3%), meaning the entire move has been driven by earnings and FCF growth, not re-rating. This is consistent with management’s view that energy equities remain attractively valued relative to intrinsic value and free cash flow yield. The 1-month multiple expansion of +12.4% reflects the Iran conflict oil price spike and the 2Q26 beat.</w:t>
      </w:r>
    </w:p>
    <w:p>
      <w:r>
        <w:rPr>
          <w:rFonts w:ascii="Calibri" w:hAnsi="Calibri"/>
          <w:b/>
          <w:color w:val="525866"/>
          <w:sz w:val="22"/>
        </w:rPr>
        <w:t xml:space="preserve">Sector ETF Reference: </w:t>
      </w:r>
      <w:r>
        <w:rPr>
          <w:rFonts w:ascii="Calibri" w:hAnsi="Calibri"/>
          <w:color w:val="525866"/>
          <w:sz w:val="22"/>
        </w:rPr>
        <w:t>XOP (SPDR S&amp;P Oil &amp; Gas Exploration &amp; Production ETF) is the appropriate sub-sector benchmark for EOG as a pure-play independent E&amp;P.</w:t>
      </w:r>
    </w:p>
    <w:p>
      <w:r>
        <w:rPr>
          <w:rFonts w:ascii="Calibri" w:hAnsi="Calibri"/>
          <w:b/>
          <w:color w:val="525866"/>
          <w:sz w:val="22"/>
        </w:rPr>
        <w:t xml:space="preserve">Source: </w:t>
      </w:r>
      <w:r>
        <w:rPr>
          <w:rFonts w:ascii="Calibri" w:hAnsi="Calibri"/>
          <w:color w:val="525866"/>
          <w:sz w:val="22"/>
        </w:rPr>
        <w:t>Stock performance decomposition data as of August 4, 2026. NTM multiples from Visible Alpha / market data.</w:t>
      </w:r>
    </w:p>
    <w:p>
      <w:r>
        <w:br w:type="page"/>
      </w:r>
    </w:p>
    <w:p>
      <w:pPr>
        <w:pStyle w:val="Heading1"/>
        <w:pBdr>
          <w:bottom w:val="single" w:sz="4" w:space="1" w:color="FB9120"/>
        </w:pBdr>
      </w:pPr>
      <w:r>
        <w:rPr>
          <w:rFonts w:ascii="Calibri" w:hAnsi="Calibri"/>
          <w:b/>
          <w:color w:val="3B4259"/>
          <w:sz w:val="40"/>
        </w:rPr>
        <w:t>6. Material News &amp; Developments (Since May 5, 2026)</w:t>
      </w:r>
    </w:p>
    <w:p>
      <w:r>
        <w:rPr>
          <w:rFonts w:ascii="Calibri" w:hAnsi="Calibri"/>
          <w:b/>
          <w:color w:val="525866"/>
          <w:sz w:val="22"/>
        </w:rPr>
        <w:t xml:space="preserve">Key Takeaway: </w:t>
      </w:r>
      <w:r>
        <w:rPr>
          <w:rFonts w:ascii="Calibri" w:hAnsi="Calibri"/>
          <w:color w:val="525866"/>
          <w:sz w:val="22"/>
        </w:rPr>
        <w:t xml:space="preserve">The dominant development since the 1Q26 print is the </w:t>
      </w:r>
      <w:r>
        <w:rPr>
          <w:rFonts w:ascii="Calibri" w:hAnsi="Calibri"/>
          <w:b/>
          <w:color w:val="525866"/>
          <w:sz w:val="22"/>
        </w:rPr>
        <w:t>U.S.-Iran conflict and Strait of Hormuz disruption</w:t>
      </w:r>
      <w:r>
        <w:rPr>
          <w:rFonts w:ascii="Calibri" w:hAnsi="Calibri"/>
          <w:color w:val="525866"/>
          <w:sz w:val="22"/>
        </w:rPr>
        <w:t>, which has structurally shifted the oil price environment and directly benefited EOG’s 2Q26 results. The UAE initial production test is the single most important company-specific development.</w:t>
      </w:r>
    </w:p>
    <w:p>
      <w:pPr>
        <w:pStyle w:val="ListBullet"/>
        <w:ind w:left="360" w:hanging="360"/>
      </w:pPr>
      <w:r>
        <w:rPr>
          <w:rFonts w:ascii="Calibri" w:hAnsi="Calibri"/>
          <w:b/>
          <w:color w:val="525866"/>
          <w:sz w:val="22"/>
        </w:rPr>
        <w:t>August 4, 2026 — EOG 2Q26 Results Released (Pre-Market):</w:t>
      </w:r>
      <w:r>
        <w:rPr>
          <w:rFonts w:ascii="Calibri" w:hAnsi="Calibri"/>
          <w:color w:val="525866"/>
          <w:sz w:val="22"/>
        </w:rPr>
        <w:t xml:space="preserve"> Record adjusted net income of $2.68B ($5.07/share), FCF of $2.8B, oil production of 548.8 MBod. Full-year guidance raised to 5% oil growth and 14% total production growth within flat $6.5B CapEx. </w:t>
      </w:r>
      <w:r>
        <w:rPr>
          <w:rFonts w:ascii="Calibri" w:hAnsi="Calibri"/>
          <w:b/>
          <w:color w:val="525866"/>
          <w:sz w:val="22"/>
        </w:rPr>
        <w:t xml:space="preserve">Implication: </w:t>
      </w:r>
      <w:r>
        <w:rPr>
          <w:rFonts w:ascii="Calibri" w:hAnsi="Calibri"/>
          <w:color w:val="525866"/>
          <w:sz w:val="22"/>
        </w:rPr>
        <w:t>Sets a high bar for the August 5 call; focus shifts to 2H outlook and 2027 signals.</w:t>
      </w:r>
    </w:p>
    <w:p>
      <w:pPr>
        <w:pStyle w:val="ListBullet"/>
        <w:ind w:left="360" w:hanging="360"/>
      </w:pPr>
      <w:r>
        <w:rPr>
          <w:rFonts w:ascii="Calibri" w:hAnsi="Calibri"/>
          <w:b/>
          <w:color w:val="525866"/>
          <w:sz w:val="22"/>
        </w:rPr>
        <w:t>August 4, 2026 — UAE Initial Production Established:</w:t>
      </w:r>
      <w:r>
        <w:rPr>
          <w:rFonts w:ascii="Calibri" w:hAnsi="Calibri"/>
          <w:color w:val="525866"/>
          <w:sz w:val="22"/>
        </w:rPr>
        <w:t xml:space="preserve"> Two one-mile lateral wells averaged </w:t>
      </w:r>
      <w:r>
        <w:rPr>
          <w:rFonts w:ascii="Calibri" w:hAnsi="Calibri"/>
          <w:b/>
          <w:color w:val="525866"/>
          <w:sz w:val="22"/>
        </w:rPr>
        <w:t>over 25,000 barrels of cumulative oil production per well in the first 30 days</w:t>
      </w:r>
      <w:r>
        <w:rPr>
          <w:rFonts w:ascii="Calibri" w:hAnsi="Calibri"/>
          <w:color w:val="525866"/>
          <w:sz w:val="22"/>
        </w:rPr>
        <w:t xml:space="preserve">. EOG characterized the UAE as an unconventional horizontal oil shale play on a 900,000-acre concession with similarities to the Eagle Ford. </w:t>
      </w:r>
      <w:r>
        <w:rPr>
          <w:rFonts w:ascii="Calibri" w:hAnsi="Calibri"/>
          <w:b/>
          <w:color w:val="525866"/>
          <w:sz w:val="22"/>
        </w:rPr>
        <w:t xml:space="preserve">Implication: </w:t>
      </w:r>
      <w:r>
        <w:rPr>
          <w:rFonts w:ascii="Calibri" w:hAnsi="Calibri"/>
          <w:color w:val="525866"/>
          <w:sz w:val="22"/>
        </w:rPr>
        <w:t>Validates the international exploration thesis; could accelerate capital allocation to UAE if results hold.</w:t>
      </w:r>
    </w:p>
    <w:p>
      <w:pPr>
        <w:pStyle w:val="ListBullet"/>
        <w:ind w:left="360" w:hanging="360"/>
      </w:pPr>
      <w:r>
        <w:rPr>
          <w:rFonts w:ascii="Calibri" w:hAnsi="Calibri"/>
          <w:b/>
          <w:color w:val="525866"/>
          <w:sz w:val="22"/>
        </w:rPr>
        <w:t>August 4, 2026 — Iran/Oman Hormuz Deal in Progress:</w:t>
      </w:r>
      <w:r>
        <w:rPr>
          <w:rFonts w:ascii="Calibri" w:hAnsi="Calibri"/>
          <w:color w:val="525866"/>
          <w:sz w:val="22"/>
        </w:rPr>
        <w:t xml:space="preserve"> Reports indicate Iran and Oman are working toward a Strait of Hormuz reopening agreement, with ships entering through an Iranian-controlled route and exiting through an Omani-controlled route. </w:t>
      </w:r>
      <w:r>
        <w:rPr>
          <w:rFonts w:ascii="Calibri" w:hAnsi="Calibri"/>
          <w:b/>
          <w:color w:val="525866"/>
          <w:sz w:val="22"/>
        </w:rPr>
        <w:t xml:space="preserve">Implication: </w:t>
      </w:r>
      <w:r>
        <w:rPr>
          <w:rFonts w:ascii="Calibri" w:hAnsi="Calibri"/>
          <w:color w:val="525866"/>
          <w:sz w:val="22"/>
        </w:rPr>
        <w:t>Key wildcard for the call — partial reopening could reset the oil price narrative and affect EOG’s 2H FCF projections.</w:t>
      </w:r>
    </w:p>
    <w:p>
      <w:pPr>
        <w:pStyle w:val="ListBullet"/>
        <w:ind w:left="360" w:hanging="360"/>
      </w:pPr>
      <w:r>
        <w:rPr>
          <w:rFonts w:ascii="Calibri" w:hAnsi="Calibri"/>
          <w:b/>
          <w:color w:val="525866"/>
          <w:sz w:val="22"/>
        </w:rPr>
        <w:t>August 4, 2026 — Trump Criticizes Exxon and Chevron:</w:t>
      </w:r>
      <w:r>
        <w:rPr>
          <w:rFonts w:ascii="Calibri" w:hAnsi="Calibri"/>
          <w:color w:val="525866"/>
          <w:sz w:val="22"/>
        </w:rPr>
        <w:t xml:space="preserve"> President Trump publicly blasted major oil companies for “making too much money” and demanded lower gas prices. </w:t>
      </w:r>
      <w:r>
        <w:rPr>
          <w:rFonts w:ascii="Calibri" w:hAnsi="Calibri"/>
          <w:b/>
          <w:color w:val="525866"/>
          <w:sz w:val="22"/>
        </w:rPr>
        <w:t xml:space="preserve">Implication: </w:t>
      </w:r>
      <w:r>
        <w:rPr>
          <w:rFonts w:ascii="Calibri" w:hAnsi="Calibri"/>
          <w:color w:val="525866"/>
          <w:sz w:val="22"/>
        </w:rPr>
        <w:t>Political risk for the sector; management may be asked about pricing discipline and shareholder return optics on the call.</w:t>
      </w:r>
    </w:p>
    <w:p>
      <w:pPr>
        <w:pStyle w:val="ListBullet"/>
        <w:ind w:left="360" w:hanging="360"/>
      </w:pPr>
      <w:r>
        <w:rPr>
          <w:rFonts w:ascii="Calibri" w:hAnsi="Calibri"/>
          <w:b/>
          <w:color w:val="525866"/>
          <w:sz w:val="22"/>
        </w:rPr>
        <w:t>July 9, 2026 — EOG Reports $45M Cash from Derivative Settlements in Q2 2026 (8-K):</w:t>
      </w:r>
      <w:r>
        <w:rPr>
          <w:rFonts w:ascii="Calibri" w:hAnsi="Calibri"/>
          <w:color w:val="525866"/>
          <w:sz w:val="22"/>
        </w:rPr>
        <w:t xml:space="preserve"> EOG disclosed $45 million in cash received from derivative settlements during Q2 2026. </w:t>
      </w:r>
      <w:r>
        <w:rPr>
          <w:rFonts w:ascii="Calibri" w:hAnsi="Calibri"/>
          <w:b/>
          <w:color w:val="525866"/>
          <w:sz w:val="22"/>
        </w:rPr>
        <w:t xml:space="preserve">Implication: </w:t>
      </w:r>
      <w:r>
        <w:rPr>
          <w:rFonts w:ascii="Calibri" w:hAnsi="Calibri"/>
          <w:color w:val="525866"/>
          <w:sz w:val="22"/>
        </w:rPr>
        <w:t>Confirms EOG’s unhedged posture provided full upside exposure to the oil price spike; no material hedge drag.</w:t>
      </w:r>
    </w:p>
    <w:p>
      <w:pPr>
        <w:pStyle w:val="ListBullet"/>
        <w:ind w:left="360" w:hanging="360"/>
      </w:pPr>
      <w:r>
        <w:rPr>
          <w:rFonts w:ascii="Calibri" w:hAnsi="Calibri"/>
          <w:b/>
          <w:color w:val="525866"/>
          <w:sz w:val="22"/>
        </w:rPr>
        <w:t>May 20, 2026 — Board Doubles Share Repurchase Authorization to $20 Billion:</w:t>
      </w:r>
      <w:r>
        <w:rPr>
          <w:rFonts w:ascii="Calibri" w:hAnsi="Calibri"/>
          <w:color w:val="525866"/>
          <w:sz w:val="22"/>
        </w:rPr>
        <w:t xml:space="preserve"> EOG’s board doubled the share repurchase authorization to $20B, effective May 20, 2026, with $11.7B remaining as of June 30, 2026 after ~$7.1B repurchased and ~10% of shares retired over the prior three years. </w:t>
      </w:r>
      <w:r>
        <w:rPr>
          <w:rFonts w:ascii="Calibri" w:hAnsi="Calibri"/>
          <w:b/>
          <w:color w:val="525866"/>
          <w:sz w:val="22"/>
        </w:rPr>
        <w:t xml:space="preserve">Implication: </w:t>
      </w:r>
      <w:r>
        <w:rPr>
          <w:rFonts w:ascii="Calibri" w:hAnsi="Calibri"/>
          <w:color w:val="525866"/>
          <w:sz w:val="22"/>
        </w:rPr>
        <w:t>Signals strong conviction in buyback strategy; provides substantial capacity for continued opportunistic repurchases.</w:t>
      </w:r>
    </w:p>
    <w:p>
      <w:pPr>
        <w:pStyle w:val="ListBullet"/>
        <w:ind w:left="360" w:hanging="360"/>
      </w:pPr>
      <w:r>
        <w:rPr>
          <w:rFonts w:ascii="Calibri" w:hAnsi="Calibri"/>
          <w:b/>
          <w:color w:val="525866"/>
          <w:sz w:val="22"/>
        </w:rPr>
        <w:t>May 5–6, 2026 — 1Q26 Earnings &amp; Call:</w:t>
      </w:r>
      <w:r>
        <w:rPr>
          <w:rFonts w:ascii="Calibri" w:hAnsi="Calibri"/>
          <w:color w:val="525866"/>
          <w:sz w:val="22"/>
        </w:rPr>
        <w:t xml:space="preserve"> EOG beat on all metrics, raised oil and NGL production guidance, reallocated capital from Dorado to oil-weighted assets, and projected record $8.5B FCF for 2026 at strip pricing. Management expressed preference for buybacks over special dividends and flagged the Iran conflict as the most significant development impacting the business. </w:t>
      </w:r>
      <w:r>
        <w:rPr>
          <w:rFonts w:ascii="Calibri" w:hAnsi="Calibri"/>
          <w:b/>
          <w:color w:val="525866"/>
          <w:sz w:val="22"/>
        </w:rPr>
        <w:t xml:space="preserve">Implication: </w:t>
      </w:r>
      <w:r>
        <w:rPr>
          <w:rFonts w:ascii="Calibri" w:hAnsi="Calibri"/>
          <w:color w:val="525866"/>
          <w:sz w:val="22"/>
        </w:rPr>
        <w:t>Established the strategic framework that 2Q26 results have now validated.</w:t>
      </w:r>
    </w:p>
    <w:p>
      <w:pPr>
        <w:pStyle w:val="ListBullet"/>
        <w:ind w:left="360" w:hanging="360"/>
      </w:pPr>
      <w:r>
        <w:rPr>
          <w:rFonts w:ascii="Calibri" w:hAnsi="Calibri"/>
          <w:b/>
          <w:color w:val="525866"/>
          <w:sz w:val="22"/>
        </w:rPr>
        <w:t>Ongoing — U.S.-Iran Conflict and Strait of Hormuz Disruption:</w:t>
      </w:r>
      <w:r>
        <w:rPr>
          <w:rFonts w:ascii="Calibri" w:hAnsi="Calibri"/>
          <w:color w:val="525866"/>
          <w:sz w:val="22"/>
        </w:rPr>
        <w:t xml:space="preserve"> The conflict, which began February 28, 2026, has removed an estimated ~900 million barrels from global markets through June 2026 per EOG management. Brent crude averaged ~$89.62/barrel in 2Q26 (+19% YoY). Houthi threats to Saudi tankers in the Red Sea opened a second chokepoint in July. </w:t>
      </w:r>
      <w:r>
        <w:rPr>
          <w:rFonts w:ascii="Calibri" w:hAnsi="Calibri"/>
          <w:b/>
          <w:color w:val="525866"/>
          <w:sz w:val="22"/>
        </w:rPr>
        <w:t xml:space="preserve">Implication: </w:t>
      </w:r>
      <w:r>
        <w:rPr>
          <w:rFonts w:ascii="Calibri" w:hAnsi="Calibri"/>
          <w:color w:val="525866"/>
          <w:sz w:val="22"/>
        </w:rPr>
        <w:t>Primary driver of EOG’s record 2Q26 results; resolution timeline is the key macro variable for 2H 2026.</w:t>
      </w:r>
    </w:p>
    <w:p>
      <w:pPr>
        <w:pStyle w:val="ListBullet"/>
        <w:ind w:left="360" w:hanging="360"/>
      </w:pPr>
      <w:r>
        <w:rPr>
          <w:rFonts w:ascii="Calibri" w:hAnsi="Calibri"/>
          <w:b/>
          <w:color w:val="525866"/>
          <w:sz w:val="22"/>
        </w:rPr>
        <w:t>Ongoing — Dorado Gas Activity Moderation:</w:t>
      </w:r>
      <w:r>
        <w:rPr>
          <w:rFonts w:ascii="Calibri" w:hAnsi="Calibri"/>
          <w:color w:val="525866"/>
          <w:sz w:val="22"/>
        </w:rPr>
        <w:t xml:space="preserve"> EOG reduced Dorado activity to just under one frac fleet with exit rate target lowered from ~1 Bcf to just over 800 MMcfd, in response to soft Henry Hub prices. Well cost target below $700/foot with breakeven ~$1.40/MCF. </w:t>
      </w:r>
      <w:r>
        <w:rPr>
          <w:rFonts w:ascii="Calibri" w:hAnsi="Calibri"/>
          <w:b/>
          <w:color w:val="525866"/>
          <w:sz w:val="22"/>
        </w:rPr>
        <w:t xml:space="preserve">Implication: </w:t>
      </w:r>
      <w:r>
        <w:rPr>
          <w:rFonts w:ascii="Calibri" w:hAnsi="Calibri"/>
          <w:color w:val="525866"/>
          <w:sz w:val="22"/>
        </w:rPr>
        <w:t>Gas strategy will be a key call topic given LNG infrastructure damage abroad and medium-term gas demand outlook.</w:t>
      </w:r>
    </w:p>
    <w:p>
      <w:r>
        <w:br w:type="page"/>
      </w:r>
    </w:p>
    <w:p>
      <w:pPr>
        <w:pStyle w:val="Heading1"/>
        <w:pBdr>
          <w:bottom w:val="single" w:sz="4" w:space="1" w:color="FB9120"/>
        </w:pBdr>
      </w:pPr>
      <w:r>
        <w:rPr>
          <w:rFonts w:ascii="Calibri" w:hAnsi="Calibri"/>
          <w:b/>
          <w:color w:val="3B4259"/>
          <w:sz w:val="40"/>
        </w:rPr>
        <w:t>7. Peer Commentary &amp;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in the last 60 days paint a uniformly constructive picture for EOG: </w:t>
      </w:r>
      <w:r>
        <w:rPr>
          <w:rFonts w:ascii="Calibri" w:hAnsi="Calibri"/>
          <w:b/>
          <w:color w:val="525866"/>
          <w:sz w:val="22"/>
        </w:rPr>
        <w:t>record Permian production, strong oil price realizations, manageable cost inflation offset by efficiency gains, and disciplined capital allocation</w:t>
      </w:r>
      <w:r>
        <w:rPr>
          <w:rFonts w:ascii="Calibri" w:hAnsi="Calibri"/>
          <w:color w:val="525866"/>
          <w:sz w:val="22"/>
        </w:rPr>
        <w:t>. The Diamondback and Chevron transcripts are the highest-quality read-throughs given their Permian overlap. ExxonMobil’s commentary on global refining tightness and Permian records is directionally positive. Oilfield services (Baker Hughes, Halliburton, SLB) confirm North America activity is healthy with Middle East disruption largely contained.</w:t>
      </w:r>
    </w:p>
    <w:p>
      <w:r>
        <w:rPr>
          <w:rFonts w:ascii="Calibri" w:hAnsi="Calibri"/>
          <w:b/>
          <w:color w:val="525866"/>
          <w:sz w:val="22"/>
        </w:rPr>
        <w:t xml:space="preserve">Methodology Note: </w:t>
      </w:r>
      <w:r>
        <w:rPr>
          <w:rFonts w:ascii="Calibri" w:hAnsi="Calibri"/>
          <w:color w:val="525866"/>
          <w:sz w:val="22"/>
        </w:rPr>
        <w:t xml:space="preserve">This section includes only commentary and disclosures from the trailing 60 days (approximately June 5 – August 4, 2026) that relate to </w:t>
      </w:r>
      <w:r>
        <w:rPr>
          <w:rFonts w:ascii="Calibri" w:hAnsi="Calibri"/>
          <w:b/>
          <w:color w:val="525866"/>
          <w:sz w:val="22"/>
        </w:rPr>
        <w:t>Q2 2026 operating conditions, pricing, costs, or capital activity</w:t>
      </w:r>
      <w:r>
        <w:rPr>
          <w:rFonts w:ascii="Calibri" w:hAnsi="Calibri"/>
          <w:color w:val="525866"/>
          <w:sz w:val="22"/>
        </w:rPr>
        <w:t xml:space="preserve"> — i.e., the same quarter EOG is now reporting. Prior-quarter earnings commentary (e.g., peers discussing their own Q1 2025 or Q4 2025 results) has been explicitly excluded. Pre-announcement 8-Ks and operational updates filed during Q2 are included where they speak to Q2 conditions. Peers included: Diamondback Energy (FANG), Chevron (CVX), ExxonMobil (XOM), Devon Energy (DVN), Baker Hughes (BKR), Halliburton (HAL), SLB, Kinder Morgan (KMI), EQT, Occidental (OXY).</w:t>
      </w:r>
    </w:p>
    <w:p>
      <w:pPr>
        <w:pStyle w:val="Heading2"/>
      </w:pPr>
      <w:r>
        <w:rPr>
          <w:rFonts w:ascii="Calibri" w:hAnsi="Calibri"/>
          <w:b/>
          <w:color w:val="3B4259"/>
          <w:sz w:val="28"/>
        </w:rPr>
        <w:t>7.1 Diamondback Energy (FANG) — 2Q26 Earnings (August 3–4, 2026)</w:t>
      </w:r>
    </w:p>
    <w:p>
      <w:r>
        <w:rPr>
          <w:rFonts w:ascii="Calibri" w:hAnsi="Calibri"/>
          <w:b/>
          <w:color w:val="525866"/>
          <w:sz w:val="22"/>
        </w:rPr>
        <w:t xml:space="preserve">Read-Through Quality: </w:t>
      </w:r>
      <w:r>
        <w:rPr>
          <w:rFonts w:ascii="Calibri" w:hAnsi="Calibri"/>
          <w:b/>
          <w:color w:val="30A46C"/>
          <w:sz w:val="22"/>
        </w:rPr>
        <w:t>HIGH</w:t>
      </w:r>
      <w:r>
        <w:rPr>
          <w:rFonts w:ascii="Calibri" w:hAnsi="Calibri"/>
          <w:color w:val="525866"/>
          <w:sz w:val="22"/>
        </w:rPr>
        <w:t xml:space="preserve"> — Permian pure-play with direct basin overlap.</w:t>
      </w:r>
    </w:p>
    <w:p>
      <w:pPr>
        <w:pStyle w:val="ListBullet"/>
        <w:ind w:left="360" w:hanging="360"/>
      </w:pPr>
      <w:r>
        <w:rPr>
          <w:rFonts w:ascii="Calibri" w:hAnsi="Calibri"/>
          <w:b/>
          <w:color w:val="525866"/>
          <w:sz w:val="22"/>
        </w:rPr>
        <w:t>Oil Price Environment / Production Response:</w:t>
      </w:r>
      <w:r>
        <w:rPr>
          <w:rFonts w:ascii="Calibri" w:hAnsi="Calibri"/>
          <w:color w:val="525866"/>
          <w:sz w:val="22"/>
        </w:rPr>
        <w:t xml:space="preserve"> FANG CEO Kaes Van’t Hof stated that “record draws from global inventories and the restocking required to rebuild global inventories have </w:t>
      </w:r>
      <w:r>
        <w:rPr>
          <w:rFonts w:ascii="Calibri" w:hAnsi="Calibri"/>
          <w:b/>
          <w:color w:val="525866"/>
          <w:sz w:val="22"/>
        </w:rPr>
        <w:t>structurally raised the floor for oil prices compared to pre-conflict prices</w:t>
      </w:r>
      <w:r>
        <w:rPr>
          <w:rFonts w:ascii="Calibri" w:hAnsi="Calibri"/>
          <w:color w:val="525866"/>
          <w:sz w:val="22"/>
        </w:rPr>
        <w:t xml:space="preserve">,” though cautioning that “the timing of the eventual supply normalization is impossible to predict.” FANG raised full-year production guidance to at least </w:t>
      </w:r>
      <w:r>
        <w:rPr>
          <w:rFonts w:ascii="Calibri" w:hAnsi="Calibri"/>
          <w:b/>
          <w:color w:val="525866"/>
          <w:sz w:val="22"/>
        </w:rPr>
        <w:t>522,000 bpd oil and 1,000,000 boepd total</w:t>
      </w:r>
      <w:r>
        <w:rPr>
          <w:rFonts w:ascii="Calibri" w:hAnsi="Calibri"/>
          <w:color w:val="525866"/>
          <w:sz w:val="22"/>
        </w:rPr>
        <w:t xml:space="preserve"> (up from 972,000 boepd prior), responding to March price signals. </w:t>
      </w:r>
      <w:r>
        <w:rPr>
          <w:rFonts w:ascii="Calibri" w:hAnsi="Calibri"/>
          <w:b/>
          <w:color w:val="525866"/>
          <w:sz w:val="22"/>
        </w:rPr>
        <w:t xml:space="preserve">EOG Read-Through: </w:t>
      </w:r>
      <w:r>
        <w:rPr>
          <w:rFonts w:ascii="Calibri" w:hAnsi="Calibri"/>
          <w:color w:val="525866"/>
          <w:sz w:val="22"/>
        </w:rPr>
        <w:t>Directly supports EOG’s own production raise and capital reallocation to oil-weighted assets. The “structurally higher floor” framing aligns with EOG management’s prior commentary on mid-cycle price expectations.</w:t>
      </w:r>
    </w:p>
    <w:p>
      <w:pPr>
        <w:pStyle w:val="ListBullet"/>
        <w:ind w:left="360" w:hanging="360"/>
      </w:pPr>
      <w:r>
        <w:rPr>
          <w:rFonts w:ascii="Calibri" w:hAnsi="Calibri"/>
          <w:b/>
          <w:color w:val="525866"/>
          <w:sz w:val="22"/>
        </w:rPr>
        <w:t>Waha Gas Prices:</w:t>
      </w:r>
      <w:r>
        <w:rPr>
          <w:rFonts w:ascii="Calibri" w:hAnsi="Calibri"/>
          <w:color w:val="525866"/>
          <w:sz w:val="22"/>
        </w:rPr>
        <w:t xml:space="preserve"> FANG noted Waha prices “firmed up a little bit” in July, with “Waha being positive for the whole month of July” — a “nice tailwind” after a challenging Q2 where Waha was likely negative or near zero. </w:t>
      </w:r>
      <w:r>
        <w:rPr>
          <w:rFonts w:ascii="Calibri" w:hAnsi="Calibri"/>
          <w:b/>
          <w:color w:val="525866"/>
          <w:sz w:val="22"/>
        </w:rPr>
        <w:t xml:space="preserve">EOG Read-Through: </w:t>
      </w:r>
      <w:r>
        <w:rPr>
          <w:rFonts w:ascii="Calibri" w:hAnsi="Calibri"/>
          <w:color w:val="525866"/>
          <w:sz w:val="22"/>
        </w:rPr>
        <w:t>EOG has minimal Waha exposure per prior management commentary, but the firming trend is directionally positive for Permian gas economics broadly.</w:t>
      </w:r>
    </w:p>
    <w:p>
      <w:pPr>
        <w:pStyle w:val="ListBullet"/>
        <w:ind w:left="360" w:hanging="360"/>
      </w:pPr>
      <w:r>
        <w:rPr>
          <w:rFonts w:ascii="Calibri" w:hAnsi="Calibri"/>
          <w:b/>
          <w:color w:val="525866"/>
          <w:sz w:val="22"/>
        </w:rPr>
        <w:t>Cost / Service Inflation:</w:t>
      </w:r>
      <w:r>
        <w:rPr>
          <w:rFonts w:ascii="Calibri" w:hAnsi="Calibri"/>
          <w:color w:val="525866"/>
          <w:sz w:val="22"/>
        </w:rPr>
        <w:t xml:space="preserve"> FANG observed “some inflation, mainly tied to consumables” and expects casing prices to rise in 2H 2026 by “about 1% of total well cost.” LOE fell below $6/barrel in Q2 driven by the production beat. Electric frac fleets mitigated fuel cost increases. FANG believes efficiency gains can offset the inflation. </w:t>
      </w:r>
      <w:r>
        <w:rPr>
          <w:rFonts w:ascii="Calibri" w:hAnsi="Calibri"/>
          <w:b/>
          <w:color w:val="525866"/>
          <w:sz w:val="22"/>
        </w:rPr>
        <w:t xml:space="preserve">EOG Read-Through: </w:t>
      </w:r>
      <w:r>
        <w:rPr>
          <w:rFonts w:ascii="Calibri" w:hAnsi="Calibri"/>
          <w:color w:val="525866"/>
          <w:sz w:val="22"/>
        </w:rPr>
        <w:t>Confirms manageable, not runaway, cost inflation in the Permian. EOG’s own $10.57/Boe cash operating cost beat is consistent with this picture.</w:t>
      </w:r>
    </w:p>
    <w:p>
      <w:pPr>
        <w:pStyle w:val="ListBullet"/>
        <w:ind w:left="360" w:hanging="360"/>
      </w:pPr>
      <w:r>
        <w:rPr>
          <w:rFonts w:ascii="Calibri" w:hAnsi="Calibri"/>
          <w:b/>
          <w:color w:val="525866"/>
          <w:sz w:val="22"/>
        </w:rPr>
        <w:t>Operational Efficiency:</w:t>
      </w:r>
      <w:r>
        <w:rPr>
          <w:rFonts w:ascii="Calibri" w:hAnsi="Calibri"/>
          <w:color w:val="525866"/>
          <w:sz w:val="22"/>
        </w:rPr>
        <w:t xml:space="preserve"> FANG achieved over 21 hours of average pumping time per day in Q2 (first full quarter of continuous pumping) and broached 5,000+ feet per day on some pads. Barnett drilling costs approaching $400/foot; Wolf Camp D stretch goal of $300/foot being hit. EOR program showing 150–200 bpd uplift per well. </w:t>
      </w:r>
      <w:r>
        <w:rPr>
          <w:rFonts w:ascii="Calibri" w:hAnsi="Calibri"/>
          <w:b/>
          <w:color w:val="525866"/>
          <w:sz w:val="22"/>
        </w:rPr>
        <w:t xml:space="preserve">EOG Read-Through: </w:t>
      </w:r>
      <w:r>
        <w:rPr>
          <w:rFonts w:ascii="Calibri" w:hAnsi="Calibri"/>
          <w:color w:val="525866"/>
          <w:sz w:val="22"/>
        </w:rPr>
        <w:t>Industry-wide efficiency gains in the Permian are real and ongoing — consistent with EOG’s own Delaware Basin cost reduction narrative.</w:t>
      </w:r>
    </w:p>
    <w:p>
      <w:pPr>
        <w:pStyle w:val="ListBullet"/>
        <w:ind w:left="360" w:hanging="360"/>
      </w:pPr>
      <w:r>
        <w:rPr>
          <w:rFonts w:ascii="Calibri" w:hAnsi="Calibri"/>
          <w:b/>
          <w:color w:val="525866"/>
          <w:sz w:val="22"/>
        </w:rPr>
        <w:t>Capital Allocation:</w:t>
      </w:r>
      <w:r>
        <w:rPr>
          <w:rFonts w:ascii="Calibri" w:hAnsi="Calibri"/>
          <w:color w:val="525866"/>
          <w:sz w:val="22"/>
        </w:rPr>
        <w:t xml:space="preserve"> FANG reduced net debt by $1.6B in Q2 and made bolt-on acquisitions of ~$385M net of divestitures. Data center power project at Bryant Ranch targeting first gas in 2H 2027 with 200–250 MMcfd of gas set aside. </w:t>
      </w:r>
      <w:r>
        <w:rPr>
          <w:rFonts w:ascii="Calibri" w:hAnsi="Calibri"/>
          <w:b/>
          <w:color w:val="525866"/>
          <w:sz w:val="22"/>
        </w:rPr>
        <w:t xml:space="preserve">EOG Read-Through: </w:t>
      </w:r>
      <w:r>
        <w:rPr>
          <w:rFonts w:ascii="Calibri" w:hAnsi="Calibri"/>
          <w:color w:val="525866"/>
          <w:sz w:val="22"/>
        </w:rPr>
        <w:t>Permian gas egress solutions and data center demand are emerging themes; EOG’s Dorado pipeline to Agua Dulce positions it similarly for LNG-linked demand.</w:t>
      </w:r>
    </w:p>
    <w:p>
      <w:pPr>
        <w:pStyle w:val="Heading2"/>
      </w:pPr>
      <w:r>
        <w:rPr>
          <w:rFonts w:ascii="Calibri" w:hAnsi="Calibri"/>
          <w:b/>
          <w:color w:val="3B4259"/>
          <w:sz w:val="28"/>
        </w:rPr>
        <w:t>7.2 Chevron (CVX) — 2Q26 Earnings (July 31, 2026)</w:t>
      </w:r>
    </w:p>
    <w:p>
      <w:r>
        <w:rPr>
          <w:rFonts w:ascii="Calibri" w:hAnsi="Calibri"/>
          <w:b/>
          <w:color w:val="525866"/>
          <w:sz w:val="22"/>
        </w:rPr>
        <w:t xml:space="preserve">Read-Through Quality: </w:t>
      </w:r>
      <w:r>
        <w:rPr>
          <w:rFonts w:ascii="Calibri" w:hAnsi="Calibri"/>
          <w:b/>
          <w:color w:val="30A46C"/>
          <w:sz w:val="22"/>
        </w:rPr>
        <w:t>HIGH</w:t>
      </w:r>
      <w:r>
        <w:rPr>
          <w:rFonts w:ascii="Calibri" w:hAnsi="Calibri"/>
          <w:color w:val="525866"/>
          <w:sz w:val="22"/>
        </w:rPr>
        <w:t xml:space="preserve"> — Major Permian operator; shale and tight portfolio directly comparable.</w:t>
      </w:r>
    </w:p>
    <w:p>
      <w:pPr>
        <w:pStyle w:val="ListBullet"/>
        <w:ind w:left="360" w:hanging="360"/>
      </w:pPr>
      <w:r>
        <w:rPr>
          <w:rFonts w:ascii="Calibri" w:hAnsi="Calibri"/>
          <w:b/>
          <w:color w:val="525866"/>
          <w:sz w:val="22"/>
        </w:rPr>
        <w:t>Permian Production Records:</w:t>
      </w:r>
      <w:r>
        <w:rPr>
          <w:rFonts w:ascii="Calibri" w:hAnsi="Calibri"/>
          <w:color w:val="525866"/>
          <w:sz w:val="22"/>
        </w:rPr>
        <w:t xml:space="preserve"> Chevron set a new Permian production record of </w:t>
      </w:r>
      <w:r>
        <w:rPr>
          <w:rFonts w:ascii="Calibri" w:hAnsi="Calibri"/>
          <w:b/>
          <w:color w:val="525866"/>
          <w:sz w:val="22"/>
        </w:rPr>
        <w:t>over 1 million barrels per day</w:t>
      </w:r>
      <w:r>
        <w:rPr>
          <w:rFonts w:ascii="Calibri" w:hAnsi="Calibri"/>
          <w:color w:val="525866"/>
          <w:sz w:val="22"/>
        </w:rPr>
        <w:t xml:space="preserve"> for the fifth consecutive quarter, with the Permian “seeing its highest reliability since 2024.” U.S. upstream production hit a new record of nearly 2.1 million boepd. </w:t>
      </w:r>
      <w:r>
        <w:rPr>
          <w:rFonts w:ascii="Calibri" w:hAnsi="Calibri"/>
          <w:b/>
          <w:color w:val="525866"/>
          <w:sz w:val="22"/>
        </w:rPr>
        <w:t xml:space="preserve">EOG Read-Through: </w:t>
      </w:r>
      <w:r>
        <w:rPr>
          <w:rFonts w:ascii="Calibri" w:hAnsi="Calibri"/>
          <w:color w:val="525866"/>
          <w:sz w:val="22"/>
        </w:rPr>
        <w:t>Confirms the Permian basin operating environment is stable and productive — a direct positive for EOG’s Delaware Basin operations.</w:t>
      </w:r>
    </w:p>
    <w:p>
      <w:pPr>
        <w:pStyle w:val="ListBullet"/>
        <w:ind w:left="360" w:hanging="360"/>
      </w:pPr>
      <w:r>
        <w:rPr>
          <w:rFonts w:ascii="Calibri" w:hAnsi="Calibri"/>
          <w:b/>
          <w:color w:val="525866"/>
          <w:sz w:val="22"/>
        </w:rPr>
        <w:t>Shale Capital Efficiency:</w:t>
      </w:r>
      <w:r>
        <w:rPr>
          <w:rFonts w:ascii="Calibri" w:hAnsi="Calibri"/>
          <w:color w:val="525866"/>
          <w:sz w:val="22"/>
        </w:rPr>
        <w:t xml:space="preserve"> Chevron expects to spend </w:t>
      </w:r>
      <w:r>
        <w:rPr>
          <w:rFonts w:ascii="Calibri" w:hAnsi="Calibri"/>
          <w:b/>
          <w:color w:val="525866"/>
          <w:sz w:val="22"/>
        </w:rPr>
        <w:t>25% less CapEx per barrel of oil equivalent in 2026 vs. 2025</w:t>
      </w:r>
      <w:r>
        <w:rPr>
          <w:rFonts w:ascii="Calibri" w:hAnsi="Calibri"/>
          <w:color w:val="525866"/>
          <w:sz w:val="22"/>
        </w:rPr>
        <w:t xml:space="preserve"> in U.S. shale and tight, with Permian capital below $3.5B representing a 25% improvement in capital efficiency. Laterals averaging 28% longer in the Bakken. </w:t>
      </w:r>
      <w:r>
        <w:rPr>
          <w:rFonts w:ascii="Calibri" w:hAnsi="Calibri"/>
          <w:b/>
          <w:color w:val="525866"/>
          <w:sz w:val="22"/>
        </w:rPr>
        <w:t xml:space="preserve">EOG Read-Through: </w:t>
      </w:r>
      <w:r>
        <w:rPr>
          <w:rFonts w:ascii="Calibri" w:hAnsi="Calibri"/>
          <w:color w:val="525866"/>
          <w:sz w:val="22"/>
        </w:rPr>
        <w:t>Significant capital efficiency gains are achievable across shale plays — consistent with EOG’s own Delaware Basin cost reduction narrative and Utica integration synergies.</w:t>
      </w:r>
    </w:p>
    <w:p>
      <w:pPr>
        <w:pStyle w:val="ListBullet"/>
        <w:ind w:left="360" w:hanging="360"/>
      </w:pPr>
      <w:r>
        <w:rPr>
          <w:rFonts w:ascii="Calibri" w:hAnsi="Calibri"/>
          <w:b/>
          <w:color w:val="525866"/>
          <w:sz w:val="22"/>
        </w:rPr>
        <w:t>Cost Reduction:</w:t>
      </w:r>
      <w:r>
        <w:rPr>
          <w:rFonts w:ascii="Calibri" w:hAnsi="Calibri"/>
          <w:color w:val="525866"/>
          <w:sz w:val="22"/>
        </w:rPr>
        <w:t xml:space="preserve"> Chevron achieved its $3B structural cost reduction target six months early, with “more than 70% of savings from efficiency gains” and has “largely offset inflationary effects.” </w:t>
      </w:r>
      <w:r>
        <w:rPr>
          <w:rFonts w:ascii="Calibri" w:hAnsi="Calibri"/>
          <w:b/>
          <w:color w:val="525866"/>
          <w:sz w:val="22"/>
        </w:rPr>
        <w:t xml:space="preserve">EOG Read-Through: </w:t>
      </w:r>
      <w:r>
        <w:rPr>
          <w:rFonts w:ascii="Calibri" w:hAnsi="Calibri"/>
          <w:color w:val="525866"/>
          <w:sz w:val="22"/>
        </w:rPr>
        <w:t>Industry-wide cost discipline is holding; EOG’s consistent cost beats are not an outlier but reflect a sector-wide efficiency trend.</w:t>
      </w:r>
    </w:p>
    <w:p>
      <w:pPr>
        <w:pStyle w:val="ListBullet"/>
        <w:ind w:left="360" w:hanging="360"/>
      </w:pPr>
      <w:r>
        <w:rPr>
          <w:rFonts w:ascii="Calibri" w:hAnsi="Calibri"/>
          <w:b/>
          <w:color w:val="525866"/>
          <w:sz w:val="22"/>
        </w:rPr>
        <w:t>Realized Pricing:</w:t>
      </w:r>
      <w:r>
        <w:rPr>
          <w:rFonts w:ascii="Calibri" w:hAnsi="Calibri"/>
          <w:color w:val="525866"/>
          <w:sz w:val="22"/>
        </w:rPr>
        <w:t xml:space="preserve"> Chevron reported “higher realizations” driving adjusted upstream earnings higher, with Brent prices likely to be higher than the $70/barrel used for TCO guidance. CFO noted “products are tighter than crude around the world” with widening cracks. </w:t>
      </w:r>
      <w:r>
        <w:rPr>
          <w:rFonts w:ascii="Calibri" w:hAnsi="Calibri"/>
          <w:b/>
          <w:color w:val="525866"/>
          <w:sz w:val="22"/>
        </w:rPr>
        <w:t xml:space="preserve">EOG Read-Through: </w:t>
      </w:r>
      <w:r>
        <w:rPr>
          <w:rFonts w:ascii="Calibri" w:hAnsi="Calibri"/>
          <w:color w:val="525866"/>
          <w:sz w:val="22"/>
        </w:rPr>
        <w:t>Favorable pricing environment in Q2 is confirmed by a major integrated peer; EOG’s unhedged position provided full exposure.</w:t>
      </w:r>
    </w:p>
    <w:p>
      <w:pPr>
        <w:pStyle w:val="ListBullet"/>
        <w:ind w:left="360" w:hanging="360"/>
      </w:pPr>
      <w:r>
        <w:rPr>
          <w:rFonts w:ascii="Calibri" w:hAnsi="Calibri"/>
          <w:b/>
          <w:color w:val="525866"/>
          <w:sz w:val="22"/>
        </w:rPr>
        <w:t>Permian Gas Takeaway:</w:t>
      </w:r>
      <w:r>
        <w:rPr>
          <w:rFonts w:ascii="Calibri" w:hAnsi="Calibri"/>
          <w:color w:val="525866"/>
          <w:sz w:val="22"/>
        </w:rPr>
        <w:t xml:space="preserve"> Chevron noted “many gas pipelines coming on in the Permian starting now” will lead to the market clearing, with “unconstrained takeaway capacity” enabling maximized oil production. </w:t>
      </w:r>
      <w:r>
        <w:rPr>
          <w:rFonts w:ascii="Calibri" w:hAnsi="Calibri"/>
          <w:b/>
          <w:color w:val="525866"/>
          <w:sz w:val="22"/>
        </w:rPr>
        <w:t xml:space="preserve">EOG Read-Through: </w:t>
      </w:r>
      <w:r>
        <w:rPr>
          <w:rFonts w:ascii="Calibri" w:hAnsi="Calibri"/>
          <w:color w:val="525866"/>
          <w:sz w:val="22"/>
        </w:rPr>
        <w:t>Improving Permian gas infrastructure reduces curtailment risk and supports EOG’s oil-weighted production strategy.</w:t>
      </w:r>
    </w:p>
    <w:p>
      <w:pPr>
        <w:pStyle w:val="ListBullet"/>
        <w:ind w:left="360" w:hanging="360"/>
      </w:pPr>
      <w:r>
        <w:rPr>
          <w:rFonts w:ascii="Calibri" w:hAnsi="Calibri"/>
          <w:b/>
          <w:color w:val="525866"/>
          <w:sz w:val="22"/>
        </w:rPr>
        <w:t>Full-Year CapEx Guidance:</w:t>
      </w:r>
      <w:r>
        <w:rPr>
          <w:rFonts w:ascii="Calibri" w:hAnsi="Calibri"/>
          <w:color w:val="525866"/>
          <w:sz w:val="22"/>
        </w:rPr>
        <w:t xml:space="preserve"> Chevron now expects to finish the year at the </w:t>
      </w:r>
      <w:r>
        <w:rPr>
          <w:rFonts w:ascii="Calibri" w:hAnsi="Calibri"/>
          <w:b/>
          <w:color w:val="525866"/>
          <w:sz w:val="22"/>
        </w:rPr>
        <w:t>lower end of its $18–$19B guidance range</w:t>
      </w:r>
      <w:r>
        <w:rPr>
          <w:rFonts w:ascii="Calibri" w:hAnsi="Calibri"/>
          <w:color w:val="525866"/>
          <w:sz w:val="22"/>
        </w:rPr>
        <w:t xml:space="preserve">. </w:t>
      </w:r>
      <w:r>
        <w:rPr>
          <w:rFonts w:ascii="Calibri" w:hAnsi="Calibri"/>
          <w:b/>
          <w:color w:val="525866"/>
          <w:sz w:val="22"/>
        </w:rPr>
        <w:t xml:space="preserve">EOG Read-Through: </w:t>
      </w:r>
      <w:r>
        <w:rPr>
          <w:rFonts w:ascii="Calibri" w:hAnsi="Calibri"/>
          <w:color w:val="525866"/>
          <w:sz w:val="22"/>
        </w:rPr>
        <w:t>Capital discipline is a sector-wide theme; consistent with EOG holding its $6.5B CapEx flat.</w:t>
      </w:r>
    </w:p>
    <w:p>
      <w:pPr>
        <w:pStyle w:val="Heading2"/>
      </w:pPr>
      <w:r>
        <w:rPr>
          <w:rFonts w:ascii="Calibri" w:hAnsi="Calibri"/>
          <w:b/>
          <w:color w:val="3B4259"/>
          <w:sz w:val="28"/>
        </w:rPr>
        <w:t>7.3 ExxonMobil (XOM) — 2Q26 Earnings (July 31, 2026)</w:t>
      </w:r>
    </w:p>
    <w:p>
      <w:r>
        <w:rPr>
          <w:rFonts w:ascii="Calibri" w:hAnsi="Calibri"/>
          <w:b/>
          <w:color w:val="525866"/>
          <w:sz w:val="22"/>
        </w:rPr>
        <w:t xml:space="preserve">Read-Through Quality: </w:t>
      </w:r>
      <w:r>
        <w:rPr>
          <w:rFonts w:ascii="Calibri" w:hAnsi="Calibri"/>
          <w:b/>
          <w:color w:val="525866"/>
          <w:sz w:val="22"/>
        </w:rPr>
        <w:t>MODERATE</w:t>
      </w:r>
      <w:r>
        <w:rPr>
          <w:rFonts w:ascii="Calibri" w:hAnsi="Calibri"/>
          <w:color w:val="525866"/>
          <w:sz w:val="22"/>
        </w:rPr>
        <w:t xml:space="preserve"> — Integrated major with Permian overlap; refining/downstream not directly applicable to EOG.</w:t>
      </w:r>
    </w:p>
    <w:p>
      <w:pPr>
        <w:pStyle w:val="ListBullet"/>
        <w:ind w:left="360" w:hanging="360"/>
      </w:pPr>
      <w:r>
        <w:rPr>
          <w:rFonts w:ascii="Calibri" w:hAnsi="Calibri"/>
          <w:b/>
          <w:color w:val="525866"/>
          <w:sz w:val="22"/>
        </w:rPr>
        <w:t>Global Supply Tightness:</w:t>
      </w:r>
      <w:r>
        <w:rPr>
          <w:rFonts w:ascii="Calibri" w:hAnsi="Calibri"/>
          <w:color w:val="525866"/>
          <w:sz w:val="22"/>
        </w:rPr>
        <w:t xml:space="preserve"> CEO Darren Woods highlighted ~3 million bpd of Middle East capacity unavailable to the market, plus ~2 million bpd of Chinese refinery capacity offline and ~1 million bpd of Russian refining capacity removed by Ukraine. Available refining capacity is at levels Woods said he has “never seen” (excluding COVID). </w:t>
      </w:r>
      <w:r>
        <w:rPr>
          <w:rFonts w:ascii="Calibri" w:hAnsi="Calibri"/>
          <w:b/>
          <w:color w:val="525866"/>
          <w:sz w:val="22"/>
        </w:rPr>
        <w:t xml:space="preserve">EOG Read-Through: </w:t>
      </w:r>
      <w:r>
        <w:rPr>
          <w:rFonts w:ascii="Calibri" w:hAnsi="Calibri"/>
          <w:color w:val="525866"/>
          <w:sz w:val="22"/>
        </w:rPr>
        <w:t>Confirms the structural tightness in global energy markets that drove EOG’s record 2Q26 results.</w:t>
      </w:r>
    </w:p>
    <w:p>
      <w:pPr>
        <w:pStyle w:val="ListBullet"/>
        <w:ind w:left="360" w:hanging="360"/>
      </w:pPr>
      <w:r>
        <w:rPr>
          <w:rFonts w:ascii="Calibri" w:hAnsi="Calibri"/>
          <w:b/>
          <w:color w:val="525866"/>
          <w:sz w:val="22"/>
        </w:rPr>
        <w:t>Permian Production Record:</w:t>
      </w:r>
      <w:r>
        <w:rPr>
          <w:rFonts w:ascii="Calibri" w:hAnsi="Calibri"/>
          <w:color w:val="525866"/>
          <w:sz w:val="22"/>
        </w:rPr>
        <w:t xml:space="preserve"> ExxonMobil set a Permian production record of </w:t>
      </w:r>
      <w:r>
        <w:rPr>
          <w:rFonts w:ascii="Calibri" w:hAnsi="Calibri"/>
          <w:b/>
          <w:color w:val="525866"/>
          <w:sz w:val="22"/>
        </w:rPr>
        <w:t>over 1.8 million boepd</w:t>
      </w:r>
      <w:r>
        <w:rPr>
          <w:rFonts w:ascii="Calibri" w:hAnsi="Calibri"/>
          <w:color w:val="525866"/>
          <w:sz w:val="22"/>
        </w:rPr>
        <w:t xml:space="preserve">, “in line with full-year guide.” Extended reach development including four-mile laterals driving superior capital efficiency; 834 mile-wells drilled year-to-date. AI and machine learning contributing to “very strong performance.” </w:t>
      </w:r>
      <w:r>
        <w:rPr>
          <w:rFonts w:ascii="Calibri" w:hAnsi="Calibri"/>
          <w:b/>
          <w:color w:val="525866"/>
          <w:sz w:val="22"/>
        </w:rPr>
        <w:t xml:space="preserve">EOG Read-Through: </w:t>
      </w:r>
      <w:r>
        <w:rPr>
          <w:rFonts w:ascii="Calibri" w:hAnsi="Calibri"/>
          <w:color w:val="525866"/>
          <w:sz w:val="22"/>
        </w:rPr>
        <w:t>Permian basin productivity and technology-driven efficiency gains are confirmed at scale; EOG’s own AI/ML applications and geomechanical modeling are consistent with this trend.</w:t>
      </w:r>
    </w:p>
    <w:p>
      <w:pPr>
        <w:pStyle w:val="ListBullet"/>
        <w:ind w:left="360" w:hanging="360"/>
      </w:pPr>
      <w:r>
        <w:rPr>
          <w:rFonts w:ascii="Calibri" w:hAnsi="Calibri"/>
          <w:b/>
          <w:color w:val="525866"/>
          <w:sz w:val="22"/>
        </w:rPr>
        <w:t>Cost Management:</w:t>
      </w:r>
      <w:r>
        <w:rPr>
          <w:rFonts w:ascii="Calibri" w:hAnsi="Calibri"/>
          <w:color w:val="525866"/>
          <w:sz w:val="22"/>
        </w:rPr>
        <w:t xml:space="preserve"> Cumulative structural cost savings reached $16.3B since 2019; company is “basically offsetting the inflation that’s out there.” Turnarounds completed in 2026 showed 30% improvement in cost and 60% improvement in duration vs. prior cycles. </w:t>
      </w:r>
      <w:r>
        <w:rPr>
          <w:rFonts w:ascii="Calibri" w:hAnsi="Calibri"/>
          <w:b/>
          <w:color w:val="525866"/>
          <w:sz w:val="22"/>
        </w:rPr>
        <w:t xml:space="preserve">EOG Read-Through: </w:t>
      </w:r>
      <w:r>
        <w:rPr>
          <w:rFonts w:ascii="Calibri" w:hAnsi="Calibri"/>
          <w:color w:val="525866"/>
          <w:sz w:val="22"/>
        </w:rPr>
        <w:t>Confirms inflationary pressures are present but manageable through operational discipline — consistent with EOG’s cost beat.</w:t>
      </w:r>
    </w:p>
    <w:p>
      <w:pPr>
        <w:pStyle w:val="ListBullet"/>
        <w:ind w:left="360" w:hanging="360"/>
      </w:pPr>
      <w:r>
        <w:rPr>
          <w:rFonts w:ascii="Calibri" w:hAnsi="Calibri"/>
          <w:b/>
          <w:color w:val="525866"/>
          <w:sz w:val="22"/>
        </w:rPr>
        <w:t>EPS Miss Despite Record Profits:</w:t>
      </w:r>
      <w:r>
        <w:rPr>
          <w:rFonts w:ascii="Calibri" w:hAnsi="Calibri"/>
          <w:color w:val="525866"/>
          <w:sz w:val="22"/>
        </w:rPr>
        <w:t xml:space="preserve"> XOM reported $14.5B in profit (highest in four years) but </w:t>
      </w:r>
      <w:r>
        <w:rPr>
          <w:rFonts w:ascii="Calibri" w:hAnsi="Calibri"/>
          <w:b/>
          <w:color w:val="525866"/>
          <w:sz w:val="22"/>
        </w:rPr>
        <w:t>missed consensus by ~$0.08/share</w:t>
      </w:r>
      <w:r>
        <w:rPr>
          <w:rFonts w:ascii="Calibri" w:hAnsi="Calibri"/>
          <w:color w:val="525866"/>
          <w:sz w:val="22"/>
        </w:rPr>
        <w:t xml:space="preserve"> ($3.52 vs. $3.60 expected). CFO Neil Hansen attributed the miss to “extreme swings” in commodity prices and margins that were difficult to model. XOM shares fell ~1% on the day. </w:t>
      </w:r>
      <w:r>
        <w:rPr>
          <w:rFonts w:ascii="Calibri" w:hAnsi="Calibri"/>
          <w:b/>
          <w:color w:val="525866"/>
          <w:sz w:val="22"/>
        </w:rPr>
        <w:t xml:space="preserve">EOG Read-Through: </w:t>
      </w:r>
      <w:r>
        <w:rPr>
          <w:rFonts w:ascii="Calibri" w:hAnsi="Calibri"/>
          <w:color w:val="525866"/>
          <w:sz w:val="22"/>
        </w:rPr>
        <w:t>Illustrates that even record results can disappoint if the bar is set too high — relevant context for EOG’s own call dynamics, though EOG’s beat was more decisive.</w:t>
      </w:r>
    </w:p>
    <w:p>
      <w:pPr>
        <w:pStyle w:val="Heading2"/>
      </w:pPr>
      <w:r>
        <w:rPr>
          <w:rFonts w:ascii="Calibri" w:hAnsi="Calibri"/>
          <w:b/>
          <w:color w:val="3B4259"/>
          <w:sz w:val="28"/>
        </w:rPr>
        <w:t>7.4 Devon Energy (DVN) — 2Q26 Earnings (August 4, 2026)</w:t>
      </w:r>
    </w:p>
    <w:p>
      <w:r>
        <w:rPr>
          <w:rFonts w:ascii="Calibri" w:hAnsi="Calibri"/>
          <w:b/>
          <w:color w:val="525866"/>
          <w:sz w:val="22"/>
        </w:rPr>
        <w:t xml:space="preserve">Read-Through Quality: </w:t>
      </w:r>
      <w:r>
        <w:rPr>
          <w:rFonts w:ascii="Calibri" w:hAnsi="Calibri"/>
          <w:b/>
          <w:color w:val="525866"/>
          <w:sz w:val="22"/>
        </w:rPr>
        <w:t>MODERATE</w:t>
      </w:r>
      <w:r>
        <w:rPr>
          <w:rFonts w:ascii="Calibri" w:hAnsi="Calibri"/>
          <w:color w:val="525866"/>
          <w:sz w:val="22"/>
        </w:rPr>
        <w:t xml:space="preserve"> — Large independent E&amp;P; first quarter post-Coterra merger creates noise.</w:t>
      </w:r>
    </w:p>
    <w:p>
      <w:pPr>
        <w:pStyle w:val="ListBullet"/>
        <w:ind w:left="360" w:hanging="360"/>
      </w:pPr>
      <w:r>
        <w:rPr>
          <w:rFonts w:ascii="Calibri" w:hAnsi="Calibri"/>
          <w:b/>
          <w:color w:val="525866"/>
          <w:sz w:val="22"/>
        </w:rPr>
        <w:t>Record Quarterly Profit:</w:t>
      </w:r>
      <w:r>
        <w:rPr>
          <w:rFonts w:ascii="Calibri" w:hAnsi="Calibri"/>
          <w:color w:val="525866"/>
          <w:sz w:val="22"/>
        </w:rPr>
        <w:t xml:space="preserve"> Devon reported its highest quarterly profit since 2022, with adjusted EPS of </w:t>
      </w:r>
      <w:r>
        <w:rPr>
          <w:rFonts w:ascii="Calibri" w:hAnsi="Calibri"/>
          <w:b/>
          <w:color w:val="525866"/>
          <w:sz w:val="22"/>
        </w:rPr>
        <w:t>$1.57 vs. $1.39 consensus</w:t>
      </w:r>
      <w:r>
        <w:rPr>
          <w:rFonts w:ascii="Calibri" w:hAnsi="Calibri"/>
          <w:color w:val="525866"/>
          <w:sz w:val="22"/>
        </w:rPr>
        <w:t xml:space="preserve"> (+13% beat). Average realized price of $88.09/barrel vs. $62.97/barrel a year earlier (+40%). Q2 production of 1.36 million boepd (first quarter including Coterra). Brent averaged $89.62/barrel in Q2 (+19.2% YoY). </w:t>
      </w:r>
      <w:r>
        <w:rPr>
          <w:rFonts w:ascii="Calibri" w:hAnsi="Calibri"/>
          <w:b/>
          <w:color w:val="525866"/>
          <w:sz w:val="22"/>
        </w:rPr>
        <w:t xml:space="preserve">EOG Read-Through: </w:t>
      </w:r>
      <w:r>
        <w:rPr>
          <w:rFonts w:ascii="Calibri" w:hAnsi="Calibri"/>
          <w:color w:val="525866"/>
          <w:sz w:val="22"/>
        </w:rPr>
        <w:t>Confirms the oil price and production environment was highly favorable for all Permian/multi-basin E&amp;Ps in Q2 2026.</w:t>
      </w:r>
    </w:p>
    <w:p>
      <w:pPr>
        <w:pStyle w:val="ListBullet"/>
        <w:ind w:left="360" w:hanging="360"/>
      </w:pPr>
      <w:r>
        <w:rPr>
          <w:rFonts w:ascii="Calibri" w:hAnsi="Calibri"/>
          <w:b/>
          <w:color w:val="525866"/>
          <w:sz w:val="22"/>
        </w:rPr>
        <w:t>Pricing Environment:</w:t>
      </w:r>
      <w:r>
        <w:rPr>
          <w:rFonts w:ascii="Calibri" w:hAnsi="Calibri"/>
          <w:color w:val="525866"/>
          <w:sz w:val="22"/>
        </w:rPr>
        <w:t xml:space="preserve"> Devon’s $88.09/barrel average realized price is consistent with the Brent/WTI pricing environment that benefited EOG. The Iran conflict-driven supply disruption is confirmed as the primary driver across the peer group.</w:t>
      </w:r>
    </w:p>
    <w:p>
      <w:pPr>
        <w:pStyle w:val="Heading2"/>
      </w:pPr>
      <w:r>
        <w:rPr>
          <w:rFonts w:ascii="Calibri" w:hAnsi="Calibri"/>
          <w:b/>
          <w:color w:val="3B4259"/>
          <w:sz w:val="28"/>
        </w:rPr>
        <w:t>7.5 Oilfield Services: Baker Hughes (BKR), Halliburton (HAL), SLB — 2Q26 (July 2026)</w:t>
      </w:r>
    </w:p>
    <w:p>
      <w:r>
        <w:rPr>
          <w:rFonts w:ascii="Calibri" w:hAnsi="Calibri"/>
          <w:b/>
          <w:color w:val="525866"/>
          <w:sz w:val="22"/>
        </w:rPr>
        <w:t xml:space="preserve">Read-Through Quality: </w:t>
      </w:r>
      <w:r>
        <w:rPr>
          <w:rFonts w:ascii="Calibri" w:hAnsi="Calibri"/>
          <w:b/>
          <w:color w:val="525866"/>
          <w:sz w:val="22"/>
        </w:rPr>
        <w:t>MODERATE</w:t>
      </w:r>
      <w:r>
        <w:rPr>
          <w:rFonts w:ascii="Calibri" w:hAnsi="Calibri"/>
          <w:color w:val="525866"/>
          <w:sz w:val="22"/>
        </w:rPr>
        <w:t xml:space="preserve"> — Activity and cost signals for E&amp;P operators.</w:t>
      </w:r>
    </w:p>
    <w:p>
      <w:pPr>
        <w:pStyle w:val="ListBullet"/>
        <w:ind w:left="360" w:hanging="360"/>
      </w:pPr>
      <w:r>
        <w:rPr>
          <w:rFonts w:ascii="Calibri" w:hAnsi="Calibri"/>
          <w:b/>
          <w:color w:val="525866"/>
          <w:sz w:val="22"/>
        </w:rPr>
        <w:t>Baker Hughes (BKR) — July 27, 2026:</w:t>
      </w:r>
      <w:r>
        <w:rPr>
          <w:rFonts w:ascii="Calibri" w:hAnsi="Calibri"/>
          <w:color w:val="525866"/>
          <w:sz w:val="22"/>
        </w:rPr>
        <w:t xml:space="preserve"> Beat consensus with EPS of $0.64 vs. $0.50 expected. IET orders of $7.1B vs. $3.6B expected (book-to-bill 1.57x). Received major order from Venture Global for 12 LNG trains for CP2 expansion. Expects global E&amp;P spending to decline modestly in 2026, with growth in Latin America, offshore Africa, and onshore North America offset by lower Middle East spending. </w:t>
      </w:r>
      <w:r>
        <w:rPr>
          <w:rFonts w:ascii="Calibri" w:hAnsi="Calibri"/>
          <w:b/>
          <w:color w:val="525866"/>
          <w:sz w:val="22"/>
        </w:rPr>
        <w:t xml:space="preserve">EOG Read-Through: </w:t>
      </w:r>
      <w:r>
        <w:rPr>
          <w:rFonts w:ascii="Calibri" w:hAnsi="Calibri"/>
          <w:color w:val="525866"/>
          <w:sz w:val="22"/>
        </w:rPr>
        <w:t>North America onshore activity is growing — positive for EOG’s service availability and cost environment. Record LNG equipment orders confirm the medium-term gas demand thesis that underpins EOG’s Dorado strategy.</w:t>
      </w:r>
    </w:p>
    <w:p>
      <w:pPr>
        <w:pStyle w:val="ListBullet"/>
        <w:ind w:left="360" w:hanging="360"/>
      </w:pPr>
      <w:r>
        <w:rPr>
          <w:rFonts w:ascii="Calibri" w:hAnsi="Calibri"/>
          <w:b/>
          <w:color w:val="525866"/>
          <w:sz w:val="22"/>
        </w:rPr>
        <w:t>Halliburton (HAL) — July 21, 2026:</w:t>
      </w:r>
      <w:r>
        <w:rPr>
          <w:rFonts w:ascii="Calibri" w:hAnsi="Calibri"/>
          <w:color w:val="525866"/>
          <w:sz w:val="22"/>
        </w:rPr>
        <w:t xml:space="preserve"> Adjusted EPS of $0.55 vs. $0.54 consensus (in-line). Middle East/Asia revenue declined 10% YoY to $1.3B due to war impact. Stock fell 5.7% on margin miss. Management noted weakness in drilling fluids and more software sales expected in Q3. </w:t>
      </w:r>
      <w:r>
        <w:rPr>
          <w:rFonts w:ascii="Calibri" w:hAnsi="Calibri"/>
          <w:b/>
          <w:color w:val="525866"/>
          <w:sz w:val="22"/>
        </w:rPr>
        <w:t xml:space="preserve">EOG Read-Through: </w:t>
      </w:r>
      <w:r>
        <w:rPr>
          <w:rFonts w:ascii="Calibri" w:hAnsi="Calibri"/>
          <w:color w:val="525866"/>
          <w:sz w:val="22"/>
        </w:rPr>
        <w:t>Middle East disruption is impacting OFS companies but North America remains healthy. EOG’s domestic-focused operations are insulated from the Middle East OFS headwind.</w:t>
      </w:r>
    </w:p>
    <w:p>
      <w:pPr>
        <w:pStyle w:val="ListBullet"/>
        <w:ind w:left="360" w:hanging="360"/>
      </w:pPr>
      <w:r>
        <w:rPr>
          <w:rFonts w:ascii="Calibri" w:hAnsi="Calibri"/>
          <w:b/>
          <w:color w:val="525866"/>
          <w:sz w:val="22"/>
        </w:rPr>
        <w:t>SLB — July 24, 2026:</w:t>
      </w:r>
      <w:r>
        <w:rPr>
          <w:rFonts w:ascii="Calibri" w:hAnsi="Calibri"/>
          <w:color w:val="525866"/>
          <w:sz w:val="22"/>
        </w:rPr>
        <w:t xml:space="preserve"> Beat consensus with EPS of $0.55 vs. $0.51 expected. Revenue grew 5% to $8.97B, beating $8.67B estimate. CEO noted “broad sequential revenue growth in international markets more than offset the impact of continued disruptions in the Middle East.” Stock rose ~11% on the day. </w:t>
      </w:r>
      <w:r>
        <w:rPr>
          <w:rFonts w:ascii="Calibri" w:hAnsi="Calibri"/>
          <w:b/>
          <w:color w:val="525866"/>
          <w:sz w:val="22"/>
        </w:rPr>
        <w:t xml:space="preserve">EOG Read-Through: </w:t>
      </w:r>
      <w:r>
        <w:rPr>
          <w:rFonts w:ascii="Calibri" w:hAnsi="Calibri"/>
          <w:color w:val="525866"/>
          <w:sz w:val="22"/>
        </w:rPr>
        <w:t>International OFS activity outside the Middle East is robust; EOG’s UAE and Bahrain operations are in a region where SLB is navigating disruptions, but EOG’s exploration-phase flexibility was designed to accommodate this.</w:t>
      </w:r>
    </w:p>
    <w:p>
      <w:pPr>
        <w:pStyle w:val="Heading2"/>
      </w:pPr>
      <w:r>
        <w:rPr>
          <w:rFonts w:ascii="Calibri" w:hAnsi="Calibri"/>
          <w:b/>
          <w:color w:val="3B4259"/>
          <w:sz w:val="28"/>
        </w:rPr>
        <w:t>7.6 Midstream &amp; Gas: Kinder Morgan (KMI), EQT — 2Q26 (July 2026)</w:t>
      </w:r>
    </w:p>
    <w:p>
      <w:r>
        <w:rPr>
          <w:rFonts w:ascii="Calibri" w:hAnsi="Calibri"/>
          <w:b/>
          <w:color w:val="525866"/>
          <w:sz w:val="22"/>
        </w:rPr>
        <w:t xml:space="preserve">Read-Through Quality: </w:t>
      </w:r>
      <w:r>
        <w:rPr>
          <w:rFonts w:ascii="Calibri" w:hAnsi="Calibri"/>
          <w:b/>
          <w:color w:val="525866"/>
          <w:sz w:val="22"/>
        </w:rPr>
        <w:t>LOW-MODERATE</w:t>
      </w:r>
      <w:r>
        <w:rPr>
          <w:rFonts w:ascii="Calibri" w:hAnsi="Calibri"/>
          <w:color w:val="525866"/>
          <w:sz w:val="22"/>
        </w:rPr>
        <w:t xml:space="preserve"> — Indirect signals on gas volumes and infrastructure.</w:t>
      </w:r>
    </w:p>
    <w:p>
      <w:pPr>
        <w:pStyle w:val="ListBullet"/>
        <w:ind w:left="360" w:hanging="360"/>
      </w:pPr>
      <w:r>
        <w:rPr>
          <w:rFonts w:ascii="Calibri" w:hAnsi="Calibri"/>
          <w:b/>
          <w:color w:val="525866"/>
          <w:sz w:val="22"/>
        </w:rPr>
        <w:t>Kinder Morgan (KMI) — July 22, 2026:</w:t>
      </w:r>
      <w:r>
        <w:rPr>
          <w:rFonts w:ascii="Calibri" w:hAnsi="Calibri"/>
          <w:color w:val="525866"/>
          <w:sz w:val="22"/>
        </w:rPr>
        <w:t xml:space="preserve"> Beat consensus with adjusted EPS of $0.37 vs. $0.32 expected. Transported ~47,886 BBtu/day of natural gas in Q2 vs. 44,818 BBtu/day a year ago (+6.8%). Strength driven by “booming oil and gas output in the Permian Basin and rising natural gas demand due to record LNG exports and surging electricity use from AI operations, cryptocurrency mining and data centers.” </w:t>
      </w:r>
      <w:r>
        <w:rPr>
          <w:rFonts w:ascii="Calibri" w:hAnsi="Calibri"/>
          <w:b/>
          <w:color w:val="525866"/>
          <w:sz w:val="22"/>
        </w:rPr>
        <w:t xml:space="preserve">EOG Read-Through: </w:t>
      </w:r>
      <w:r>
        <w:rPr>
          <w:rFonts w:ascii="Calibri" w:hAnsi="Calibri"/>
          <w:color w:val="525866"/>
          <w:sz w:val="22"/>
        </w:rPr>
        <w:t>Confirms growing natural gas throughput demand — positive for EOG’s Dorado-to-Agua Dulce pipeline strategy and LNG contract expansion with Cheniere.</w:t>
      </w:r>
    </w:p>
    <w:p>
      <w:pPr>
        <w:pStyle w:val="ListBullet"/>
        <w:ind w:left="360" w:hanging="360"/>
      </w:pPr>
      <w:r>
        <w:rPr>
          <w:rFonts w:ascii="Calibri" w:hAnsi="Calibri"/>
          <w:b/>
          <w:color w:val="525866"/>
          <w:sz w:val="22"/>
        </w:rPr>
        <w:t>EQT — July 21, 2026:</w:t>
      </w:r>
      <w:r>
        <w:rPr>
          <w:rFonts w:ascii="Calibri" w:hAnsi="Calibri"/>
          <w:color w:val="525866"/>
          <w:sz w:val="22"/>
        </w:rPr>
        <w:t xml:space="preserve"> Missed consensus with adjusted EPS of $0.39 vs. $0.40 expected. U.S. Henry Hub averaged $3.02/MMBtu in Q2, down 17.5% from a year earlier. “Record domestic output, comfortable storage levels and limited LNG export capacity insulated the U.S. market from global supply shocks.” </w:t>
      </w:r>
      <w:r>
        <w:rPr>
          <w:rFonts w:ascii="Calibri" w:hAnsi="Calibri"/>
          <w:b/>
          <w:color w:val="525866"/>
          <w:sz w:val="22"/>
        </w:rPr>
        <w:t xml:space="preserve">EOG Read-Through: </w:t>
      </w:r>
      <w:r>
        <w:rPr>
          <w:rFonts w:ascii="Calibri" w:hAnsi="Calibri"/>
          <w:color w:val="525866"/>
          <w:sz w:val="22"/>
        </w:rPr>
        <w:t>Confirms the soft domestic gas price environment that drove EOG’s Dorado activity moderation. EOG’s decision to reduce Dorado activity was well-timed given this backdrop.</w:t>
      </w:r>
    </w:p>
    <w:p>
      <w:pPr>
        <w:pStyle w:val="ListBullet"/>
        <w:ind w:left="360" w:hanging="360"/>
      </w:pPr>
      <w:r>
        <w:rPr>
          <w:rFonts w:ascii="Calibri" w:hAnsi="Calibri"/>
          <w:b/>
          <w:color w:val="525866"/>
          <w:sz w:val="22"/>
        </w:rPr>
        <w:t>Occidental (OXY) — July 10, 2026 (8-K):</w:t>
      </w:r>
      <w:r>
        <w:rPr>
          <w:rFonts w:ascii="Calibri" w:hAnsi="Calibri"/>
          <w:color w:val="525866"/>
          <w:sz w:val="22"/>
        </w:rPr>
        <w:t xml:space="preserve"> OXY disclosed that realized oil prices surged </w:t>
      </w:r>
      <w:r>
        <w:rPr>
          <w:rFonts w:ascii="Calibri" w:hAnsi="Calibri"/>
          <w:b/>
          <w:color w:val="525866"/>
          <w:sz w:val="22"/>
        </w:rPr>
        <w:t>38.4% in Q2</w:t>
      </w:r>
      <w:r>
        <w:rPr>
          <w:rFonts w:ascii="Calibri" w:hAnsi="Calibri"/>
          <w:color w:val="525866"/>
          <w:sz w:val="22"/>
        </w:rPr>
        <w:t xml:space="preserve"> driven by higher crude rates amid the U.S.-Iran war. </w:t>
      </w:r>
      <w:r>
        <w:rPr>
          <w:rFonts w:ascii="Calibri" w:hAnsi="Calibri"/>
          <w:b/>
          <w:color w:val="525866"/>
          <w:sz w:val="22"/>
        </w:rPr>
        <w:t xml:space="preserve">EOG Read-Through: </w:t>
      </w:r>
      <w:r>
        <w:rPr>
          <w:rFonts w:ascii="Calibri" w:hAnsi="Calibri"/>
          <w:color w:val="525866"/>
          <w:sz w:val="22"/>
        </w:rPr>
        <w:t>Confirms the magnitude of oil price improvement in Q2 across the E&amp;P peer group — consistent with EOG’s record financial results.</w:t>
      </w:r>
    </w:p>
    <w:p>
      <w:r>
        <w:br w:type="page"/>
      </w:r>
    </w:p>
    <w:p>
      <w:pPr>
        <w:pStyle w:val="Heading1"/>
        <w:pBdr>
          <w:bottom w:val="single" w:sz="4" w:space="1" w:color="FB9120"/>
        </w:pBdr>
      </w:pPr>
      <w:r>
        <w:rPr>
          <w:rFonts w:ascii="Calibri" w:hAnsi="Calibri"/>
          <w:b/>
          <w:color w:val="3B4259"/>
          <w:sz w:val="40"/>
        </w:rPr>
        <w:t>8. Insider Transaction Activity (Since May 5, 2026)</w:t>
      </w:r>
    </w:p>
    <w:p>
      <w:r>
        <w:rPr>
          <w:rFonts w:ascii="Calibri" w:hAnsi="Calibri"/>
          <w:b/>
          <w:color w:val="525866"/>
          <w:sz w:val="22"/>
        </w:rPr>
        <w:t xml:space="preserve">Key Takeaway: </w:t>
      </w:r>
      <w:r>
        <w:rPr>
          <w:rFonts w:ascii="Calibri" w:hAnsi="Calibri"/>
          <w:color w:val="525866"/>
          <w:sz w:val="22"/>
        </w:rPr>
        <w:t>EOG insider Form 4 filings since the 1Q26 earnings print show a cluster of transactions in August 2026 consistent with the post-2Q26 results disclosure period. The volume of filings (24 Form 4s filed in August 2026 alone) is notable but appears to reflect routine post-blackout activity following the August 4 results release rather than discretionary signaling. No large open-market buys or unusual discretionary sales have been identified in the available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Name / Entity</w:t>
            </w:r>
          </w:p>
        </w:tc>
        <w:tc>
          <w:tcPr>
            <w:tcW w:type="dxa" w:w="1728"/>
            <w:shd w:val="clear" w:color="auto" w:fill="3B4259"/>
          </w:tcPr>
          <w:p>
            <w:r>
              <w:rPr>
                <w:rFonts w:ascii="Calibri" w:hAnsi="Calibri"/>
                <w:b/>
                <w:color w:val="FFFFFF"/>
                <w:sz w:val="22"/>
              </w:rPr>
              <w:t>Title</w:t>
            </w:r>
          </w:p>
        </w:tc>
        <w:tc>
          <w:tcPr>
            <w:tcW w:type="dxa" w:w="1728"/>
            <w:shd w:val="clear" w:color="auto" w:fill="3B4259"/>
          </w:tcPr>
          <w:p>
            <w:r>
              <w:rPr>
                <w:rFonts w:ascii="Calibri" w:hAnsi="Calibri"/>
                <w:b/>
                <w:color w:val="FFFFFF"/>
                <w:sz w:val="22"/>
              </w:rPr>
              <w:t>Transaction Type</w:t>
            </w:r>
          </w:p>
        </w:tc>
        <w:tc>
          <w:tcPr>
            <w:tcW w:type="dxa" w:w="1728"/>
            <w:shd w:val="clear" w:color="auto" w:fill="3B4259"/>
          </w:tcPr>
          <w:p>
            <w:r>
              <w:rPr>
                <w:rFonts w:ascii="Calibri" w:hAnsi="Calibri"/>
                <w:b/>
                <w:color w:val="FFFFFF"/>
                <w:sz w:val="22"/>
              </w:rPr>
              <w:t>Approx. Date</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Multiple EOG Insiders</w:t>
            </w:r>
          </w:p>
        </w:tc>
        <w:tc>
          <w:tcPr>
            <w:tcW w:type="dxa" w:w="1728"/>
          </w:tcPr>
          <w:p>
            <w:r>
              <w:rPr>
                <w:rFonts w:ascii="Calibri" w:hAnsi="Calibri"/>
                <w:sz w:val="22"/>
              </w:rPr>
              <w:t>Various Officers / Directors</w:t>
            </w:r>
          </w:p>
        </w:tc>
        <w:tc>
          <w:tcPr>
            <w:tcW w:type="dxa" w:w="1728"/>
          </w:tcPr>
          <w:p>
            <w:r>
              <w:rPr>
                <w:rFonts w:ascii="Calibri" w:hAnsi="Calibri"/>
                <w:sz w:val="22"/>
              </w:rPr>
              <w:t>Form 4 Filings (24 total)</w:t>
            </w:r>
          </w:p>
        </w:tc>
        <w:tc>
          <w:tcPr>
            <w:tcW w:type="dxa" w:w="1728"/>
          </w:tcPr>
          <w:p>
            <w:r>
              <w:rPr>
                <w:rFonts w:ascii="Calibri" w:hAnsi="Calibri"/>
                <w:sz w:val="22"/>
              </w:rPr>
              <w:t>August 2026 (post-results)</w:t>
            </w:r>
          </w:p>
        </w:tc>
        <w:tc>
          <w:tcPr>
            <w:tcW w:type="dxa" w:w="1728"/>
          </w:tcPr>
          <w:p>
            <w:r>
              <w:rPr>
                <w:rFonts w:ascii="Calibri" w:hAnsi="Calibri"/>
                <w:sz w:val="22"/>
              </w:rPr>
              <w:t>Cluster of 24 Form 4 filings in August 2026 following 2Q26 results release; consistent with post-blackout disclosure window. Specific transaction values and types not available in the filing index; full detail requires individual form review.</w:t>
            </w:r>
          </w:p>
        </w:tc>
      </w:tr>
    </w:tbl>
    <w:p>
      <w:r>
        <w:rPr>
          <w:rFonts w:ascii="Calibri" w:hAnsi="Calibri"/>
          <w:b/>
          <w:color w:val="525866"/>
          <w:sz w:val="22"/>
        </w:rPr>
        <w:t xml:space="preserve">Note: </w:t>
      </w:r>
      <w:r>
        <w:rPr>
          <w:rFonts w:ascii="Calibri" w:hAnsi="Calibri"/>
          <w:color w:val="525866"/>
          <w:sz w:val="22"/>
        </w:rPr>
        <w:t>The SEC EDGAR filing index for EOG shows 24 Form 4 filings between approximately May 5 and August 4, 2026. The cluster of filings in August 2026 is consistent with the standard post-earnings blackout period lifting following the August 4 results release. Without reviewing each individual form, specific transaction types (open-market buy/sell vs. 10b5-1 plan vs. tax withholding) and values cannot be confirmed. No Form 144 (intended sale notices) were identified for EOG insiders in this period. The absence of large discretionary open-market buys is not unusual given the stock’s strong performance (+32% over 6 months); the absence of large discretionary sales is a mild positive signal.</w:t>
      </w:r>
    </w:p>
    <w:p>
      <w:r>
        <w:rPr>
          <w:rFonts w:ascii="Calibri" w:hAnsi="Calibri"/>
          <w:b/>
          <w:color w:val="525866"/>
          <w:sz w:val="22"/>
        </w:rPr>
        <w:t xml:space="preserve">Source: </w:t>
      </w:r>
      <w:r>
        <w:rPr>
          <w:rFonts w:ascii="Calibri" w:hAnsi="Calibri"/>
          <w:color w:val="525866"/>
          <w:sz w:val="22"/>
        </w:rPr>
        <w:t>SEC EDGAR Form 4 filing index for EOG Resources (CIK 821189), May 5 – August 4, 2026.</w:t>
      </w:r>
    </w:p>
    <w:p>
      <w:r>
        <w:br w:type="page"/>
      </w:r>
    </w:p>
    <w:p>
      <w:pPr>
        <w:pStyle w:val="Heading1"/>
        <w:pBdr>
          <w:bottom w:val="single" w:sz="4" w:space="1" w:color="FB9120"/>
        </w:pBdr>
      </w:pPr>
      <w:r>
        <w:rPr>
          <w:rFonts w:ascii="Calibri" w:hAnsi="Calibri"/>
          <w:b/>
          <w:color w:val="3B4259"/>
          <w:sz w:val="40"/>
        </w:rPr>
        <w:t>9. Key Questions for the August 5 Earnings Call</w:t>
      </w:r>
    </w:p>
    <w:p>
      <w:r>
        <w:rPr>
          <w:rFonts w:ascii="Calibri" w:hAnsi="Calibri"/>
          <w:color w:val="525866"/>
          <w:sz w:val="22"/>
        </w:rPr>
        <w:t>The following are the highest-priority questions to listen for on the August 5, 2026 call, based on the 2Q26 results, peer commentary, and macro developments.</w:t>
      </w:r>
    </w:p>
    <w:p>
      <w:pPr>
        <w:pStyle w:val="ListNumber"/>
        <w:ind w:left="360" w:hanging="360"/>
      </w:pPr>
      <w:r>
        <w:rPr>
          <w:rFonts w:ascii="Calibri" w:hAnsi="Calibri"/>
          <w:b/>
          <w:color w:val="525866"/>
          <w:sz w:val="22"/>
        </w:rPr>
        <w:t>Hormuz Reopening Scenario Analysis:</w:t>
      </w:r>
      <w:r>
        <w:rPr>
          <w:rFonts w:ascii="Calibri" w:hAnsi="Calibri"/>
          <w:color w:val="525866"/>
          <w:sz w:val="22"/>
        </w:rPr>
        <w:t xml:space="preserve"> With Iran and Oman reportedly working toward a Strait of Hormuz deal as of August 4, how does management frame the oil price floor in a partial or full reopening scenario? Does the $60 WTI floor thesis hold? What is the expected pace of supply restoration and how does that affect EOG’s 2H 2026 FCF projections?</w:t>
      </w:r>
    </w:p>
    <w:p>
      <w:pPr>
        <w:pStyle w:val="ListNumber"/>
        <w:ind w:left="360" w:hanging="360"/>
      </w:pPr>
      <w:r>
        <w:rPr>
          <w:rFonts w:ascii="Calibri" w:hAnsi="Calibri"/>
          <w:b/>
          <w:color w:val="525866"/>
          <w:sz w:val="22"/>
        </w:rPr>
        <w:t>UAE Production Test — What Comes Next?</w:t>
      </w:r>
      <w:r>
        <w:rPr>
          <w:rFonts w:ascii="Calibri" w:hAnsi="Calibri"/>
          <w:color w:val="525866"/>
          <w:sz w:val="22"/>
        </w:rPr>
        <w:t xml:space="preserve"> The 25,000+ cumulative barrel/well result in 30 days is exceptional. What is the next phase of evaluation? When does EOG expect to make a capital allocation decision for UAE? Is the Bahrain result still on track for 2H 2026? Does the UAE result change the long-term international capital allocation framework?</w:t>
      </w:r>
    </w:p>
    <w:p>
      <w:pPr>
        <w:pStyle w:val="ListNumber"/>
        <w:ind w:left="360" w:hanging="360"/>
      </w:pPr>
      <w:r>
        <w:rPr>
          <w:rFonts w:ascii="Calibri" w:hAnsi="Calibri"/>
          <w:b/>
          <w:color w:val="525866"/>
          <w:sz w:val="22"/>
        </w:rPr>
        <w:t>Buyback Pace and Capital Return Framework:</w:t>
      </w:r>
      <w:r>
        <w:rPr>
          <w:rFonts w:ascii="Calibri" w:hAnsi="Calibri"/>
          <w:color w:val="525866"/>
          <w:sz w:val="22"/>
        </w:rPr>
        <w:t xml:space="preserve"> With $11.7B remaining on the $20B authorization and record FCF, what is the expected buyback pace in 3Q26? Does management still target “at least 70%” of FCF returned, or has the preference shifted given the desire to preserve balance sheet capacity for countercyclical investment? Is a special dividend being considered?</w:t>
      </w:r>
    </w:p>
    <w:p>
      <w:pPr>
        <w:pStyle w:val="ListNumber"/>
        <w:ind w:left="360" w:hanging="360"/>
      </w:pPr>
      <w:r>
        <w:rPr>
          <w:rFonts w:ascii="Calibri" w:hAnsi="Calibri"/>
          <w:b/>
          <w:color w:val="525866"/>
          <w:sz w:val="22"/>
        </w:rPr>
        <w:t>2027 Activity Signals:</w:t>
      </w:r>
      <w:r>
        <w:rPr>
          <w:rFonts w:ascii="Calibri" w:hAnsi="Calibri"/>
          <w:color w:val="525866"/>
          <w:sz w:val="22"/>
        </w:rPr>
        <w:t xml:space="preserve"> Management indicated at the 1Q26 call that the capital reallocation to oil-weighted assets “sets up potential for more aggressive liquids growth” in 2027 but wanted more clarity on conflict resolution before committing. With 2Q26 results in hand and the Hormuz situation evolving, is management ready to signal 2027 rig/frac fleet additions?</w:t>
      </w:r>
    </w:p>
    <w:p>
      <w:pPr>
        <w:pStyle w:val="ListNumber"/>
        <w:ind w:left="360" w:hanging="360"/>
      </w:pPr>
      <w:r>
        <w:rPr>
          <w:rFonts w:ascii="Calibri" w:hAnsi="Calibri"/>
          <w:b/>
          <w:color w:val="525866"/>
          <w:sz w:val="22"/>
        </w:rPr>
        <w:t>Dorado Gas Strategy:</w:t>
      </w:r>
      <w:r>
        <w:rPr>
          <w:rFonts w:ascii="Calibri" w:hAnsi="Calibri"/>
          <w:color w:val="525866"/>
          <w:sz w:val="22"/>
        </w:rPr>
        <w:t xml:space="preserve"> With Henry Hub averaging $3.02/MMBtu in Q2 (down 17.5% YoY per EQT) and storage above the 5-year average, does EOG plan to further reduce Dorado activity in 2H 2026? How does the LNG infrastructure damage abroad (which management believes reduces global LNG oversupply risk) affect the medium-term Dorado development timeline? When does the Dorado-to-Agua Dulce pipeline reach full utilization?</w:t>
      </w:r>
    </w:p>
    <w:p>
      <w:pPr>
        <w:pStyle w:val="ListNumber"/>
        <w:ind w:left="360" w:hanging="360"/>
      </w:pPr>
      <w:r>
        <w:rPr>
          <w:rFonts w:ascii="Calibri" w:hAnsi="Calibri"/>
          <w:b/>
          <w:color w:val="525866"/>
          <w:sz w:val="22"/>
        </w:rPr>
        <w:t>Delaware Basin Productivity:</w:t>
      </w:r>
      <w:r>
        <w:rPr>
          <w:rFonts w:ascii="Calibri" w:hAnsi="Calibri"/>
          <w:color w:val="525866"/>
          <w:sz w:val="22"/>
        </w:rPr>
        <w:t xml:space="preserve"> Management pledged at the 1Q26 call that 2026 data would show productivity “stable to slightly improving.” Does the 2Q26 data confirm this? Any update on the Pearsall shale delineation or other emerging domestic plays?</w:t>
      </w:r>
    </w:p>
    <w:p>
      <w:pPr>
        <w:pStyle w:val="ListNumber"/>
        <w:ind w:left="360" w:hanging="360"/>
      </w:pPr>
      <w:r>
        <w:rPr>
          <w:rFonts w:ascii="Calibri" w:hAnsi="Calibri"/>
          <w:b/>
          <w:color w:val="525866"/>
          <w:sz w:val="22"/>
        </w:rPr>
        <w:t>Encino / Utica Integration:</w:t>
      </w:r>
      <w:r>
        <w:rPr>
          <w:rFonts w:ascii="Calibri" w:hAnsi="Calibri"/>
          <w:color w:val="525866"/>
          <w:sz w:val="22"/>
        </w:rPr>
        <w:t xml:space="preserve"> Is the in-basin sand mine still on track for year-end 2026? What is the current combined well cost vs. the legacy EOG and legacy Encino benchmarks? Any update on AI-driven production optimizer uplift on acquired wells?</w:t>
      </w:r>
    </w:p>
    <w:p>
      <w:pPr>
        <w:pStyle w:val="ListNumber"/>
        <w:ind w:left="360" w:hanging="360"/>
      </w:pPr>
      <w:r>
        <w:rPr>
          <w:rFonts w:ascii="Calibri" w:hAnsi="Calibri"/>
          <w:b/>
          <w:color w:val="525866"/>
          <w:sz w:val="22"/>
        </w:rPr>
        <w:t>Political Risk / Trump Criticism of Big Oil:</w:t>
      </w:r>
      <w:r>
        <w:rPr>
          <w:rFonts w:ascii="Calibri" w:hAnsi="Calibri"/>
          <w:color w:val="525866"/>
          <w:sz w:val="22"/>
        </w:rPr>
        <w:t xml:space="preserve"> President Trump publicly criticized Exxon and Chevron for “making too much money” on August 3–4. How does EOG management frame its shareholder return strategy in this political environment? Any concern about windfall profit tax proposals?</w:t>
      </w:r>
    </w:p>
    <w:p>
      <w:pPr>
        <w:pStyle w:val="ListNumber"/>
        <w:ind w:left="360" w:hanging="360"/>
      </w:pPr>
      <w:r>
        <w:rPr>
          <w:rFonts w:ascii="Calibri" w:hAnsi="Calibri"/>
          <w:b/>
          <w:color w:val="525866"/>
          <w:sz w:val="22"/>
        </w:rPr>
        <w:t>Bahrain Update:</w:t>
      </w:r>
      <w:r>
        <w:rPr>
          <w:rFonts w:ascii="Calibri" w:hAnsi="Calibri"/>
          <w:color w:val="525866"/>
          <w:sz w:val="22"/>
        </w:rPr>
        <w:t xml:space="preserve"> The primary delay in Bahrain was supply chain disruption from the Strait of Hormuz closure (difficulty sourcing wellheads and equipment). With the Hormuz situation potentially resolving, is the Bahrain result timeline accelerating? What is the gas pricing structure with the Bahraini government?</w:t>
      </w:r>
    </w:p>
    <w:p>
      <w:pPr>
        <w:pStyle w:val="ListNumber"/>
        <w:ind w:left="360" w:hanging="360"/>
      </w:pPr>
      <w:r>
        <w:rPr>
          <w:rFonts w:ascii="Calibri" w:hAnsi="Calibri"/>
          <w:b/>
          <w:color w:val="525866"/>
          <w:sz w:val="22"/>
        </w:rPr>
        <w:t>FCF Guidance Precision:</w:t>
      </w:r>
      <w:r>
        <w:rPr>
          <w:rFonts w:ascii="Calibri" w:hAnsi="Calibri"/>
          <w:color w:val="525866"/>
          <w:sz w:val="22"/>
        </w:rPr>
        <w:t xml:space="preserve"> The 1Q26 call projected “record $8.5B in FCF” at strip pricing. The 2Q26 release used vaguer language (“substantial FCF”). Will management provide a refreshed FCF projection for FY26 given the current strip? Consensus sits at ~$7.96B — is that the right number?</w:t>
      </w:r>
    </w:p>
    <w:p>
      <w:r>
        <w:br w:type="page"/>
      </w:r>
    </w:p>
    <w:p>
      <w:pPr>
        <w:pStyle w:val="Heading1"/>
        <w:pBdr>
          <w:bottom w:val="single" w:sz="4" w:space="1" w:color="FB9120"/>
        </w:pBdr>
      </w:pPr>
      <w:r>
        <w:rPr>
          <w:rFonts w:ascii="Calibri" w:hAnsi="Calibri"/>
          <w:b/>
          <w:color w:val="3B4259"/>
          <w:sz w:val="40"/>
        </w:rPr>
        <w:t>Appendix: Key Data Sources &amp; Citations</w:t>
      </w:r>
    </w:p>
    <w:p>
      <w:pPr>
        <w:pStyle w:val="ListBullet"/>
        <w:ind w:left="360" w:hanging="360"/>
      </w:pPr>
      <w:r>
        <w:rPr>
          <w:rFonts w:ascii="Calibri" w:hAnsi="Calibri"/>
          <w:b/>
          <w:color w:val="525866"/>
          <w:sz w:val="22"/>
        </w:rPr>
        <w:t>EOG 2Q26 Earnings Release (8-K EX-99.1, August 4, 2026):</w:t>
      </w:r>
      <w:r>
        <w:rPr>
          <w:rFonts w:ascii="Calibri" w:hAnsi="Calibri"/>
          <w:color w:val="525866"/>
          <w:sz w:val="22"/>
        </w:rPr>
        <w:t xml:space="preserve"> Primary source for all 2Q26 reported financials, production volumes, operating costs, guidance, and UAE production test results.</w:t>
      </w:r>
    </w:p>
    <w:p>
      <w:pPr>
        <w:pStyle w:val="ListBullet"/>
        <w:ind w:left="360" w:hanging="360"/>
      </w:pPr>
      <w:r>
        <w:rPr>
          <w:rFonts w:ascii="Calibri" w:hAnsi="Calibri"/>
          <w:b/>
          <w:color w:val="525866"/>
          <w:sz w:val="22"/>
        </w:rPr>
        <w:t>EOG 1Q26 Earnings Call Transcript (May 6, 2026):</w:t>
      </w:r>
      <w:r>
        <w:rPr>
          <w:rFonts w:ascii="Calibri" w:hAnsi="Calibri"/>
          <w:color w:val="525866"/>
          <w:sz w:val="22"/>
        </w:rPr>
        <w:t xml:space="preserve"> Primary source for initial 2026 guidance, management commentary on oil macro, Dorado strategy, international exploration, and shareholder return framework.</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Source for all consensus estimates (EPS — Diluted — Operating; Total Oil Production per day; Total Natural Gas Production per day; Total Oil Equivalent per day; Capital Expenditures; Free Cash Flow; Revenue). KPI catalog: EOG US. Fiscal calendar confirmed via Visible Alpha fiscal period mapping.</w:t>
      </w:r>
    </w:p>
    <w:p>
      <w:pPr>
        <w:pStyle w:val="ListBullet"/>
        <w:ind w:left="360" w:hanging="360"/>
      </w:pPr>
      <w:r>
        <w:rPr>
          <w:rFonts w:ascii="Calibri" w:hAnsi="Calibri"/>
          <w:b/>
          <w:color w:val="525866"/>
          <w:sz w:val="22"/>
        </w:rPr>
        <w:t>Diamondback Energy (FANG) 2Q26 Earnings Call Transcript (August 4, 2026):</w:t>
      </w:r>
      <w:r>
        <w:rPr>
          <w:rFonts w:ascii="Calibri" w:hAnsi="Calibri"/>
          <w:color w:val="525866"/>
          <w:sz w:val="22"/>
        </w:rPr>
        <w:t xml:space="preserve"> Source for Permian pricing, production, cost, and capital commentary in Section 7.1.</w:t>
      </w:r>
    </w:p>
    <w:p>
      <w:pPr>
        <w:pStyle w:val="ListBullet"/>
        <w:ind w:left="360" w:hanging="360"/>
      </w:pPr>
      <w:r>
        <w:rPr>
          <w:rFonts w:ascii="Calibri" w:hAnsi="Calibri"/>
          <w:b/>
          <w:color w:val="525866"/>
          <w:sz w:val="22"/>
        </w:rPr>
        <w:t>Chevron (CVX) 2Q26 Earnings Call Transcript (July 31, 2026):</w:t>
      </w:r>
      <w:r>
        <w:rPr>
          <w:rFonts w:ascii="Calibri" w:hAnsi="Calibri"/>
          <w:color w:val="525866"/>
          <w:sz w:val="22"/>
        </w:rPr>
        <w:t xml:space="preserve"> Source for Permian production records, shale capital efficiency, cost reduction, and gas takeaway commentary in Section 7.2.</w:t>
      </w:r>
    </w:p>
    <w:p>
      <w:pPr>
        <w:pStyle w:val="ListBullet"/>
        <w:ind w:left="360" w:hanging="360"/>
      </w:pPr>
      <w:r>
        <w:rPr>
          <w:rFonts w:ascii="Calibri" w:hAnsi="Calibri"/>
          <w:b/>
          <w:color w:val="525866"/>
          <w:sz w:val="22"/>
        </w:rPr>
        <w:t>ExxonMobil (XOM) 2Q26 Earnings Call Transcript (July 31, 2026):</w:t>
      </w:r>
      <w:r>
        <w:rPr>
          <w:rFonts w:ascii="Calibri" w:hAnsi="Calibri"/>
          <w:color w:val="525866"/>
          <w:sz w:val="22"/>
        </w:rPr>
        <w:t xml:space="preserve"> Source for global supply tightness, Permian production records, and cost management commentary in Section 7.3.</w:t>
      </w:r>
    </w:p>
    <w:p>
      <w:pPr>
        <w:pStyle w:val="ListBullet"/>
        <w:ind w:left="360" w:hanging="360"/>
      </w:pPr>
      <w:r>
        <w:rPr>
          <w:rFonts w:ascii="Calibri" w:hAnsi="Calibri"/>
          <w:b/>
          <w:color w:val="525866"/>
          <w:sz w:val="22"/>
        </w:rPr>
        <w:t>Devon Energy (DVN) 2Q26 8-K / News (August 4, 2026):</w:t>
      </w:r>
      <w:r>
        <w:rPr>
          <w:rFonts w:ascii="Calibri" w:hAnsi="Calibri"/>
          <w:color w:val="525866"/>
          <w:sz w:val="22"/>
        </w:rPr>
        <w:t xml:space="preserve"> Source for peer realized pricing and production commentary in Section 7.4.</w:t>
      </w:r>
    </w:p>
    <w:p>
      <w:pPr>
        <w:pStyle w:val="ListBullet"/>
        <w:ind w:left="360" w:hanging="360"/>
      </w:pPr>
      <w:r>
        <w:rPr>
          <w:rFonts w:ascii="Calibri" w:hAnsi="Calibri"/>
          <w:b/>
          <w:color w:val="525866"/>
          <w:sz w:val="22"/>
        </w:rPr>
        <w:t>Baker Hughes (BKR), Halliburton (HAL), SLB 2Q26 Earnings Releases / News (July 2026):</w:t>
      </w:r>
      <w:r>
        <w:rPr>
          <w:rFonts w:ascii="Calibri" w:hAnsi="Calibri"/>
          <w:color w:val="525866"/>
          <w:sz w:val="22"/>
        </w:rPr>
        <w:t xml:space="preserve"> Source for OFS activity and cost signals in Section 7.5.</w:t>
      </w:r>
    </w:p>
    <w:p>
      <w:pPr>
        <w:pStyle w:val="ListBullet"/>
        <w:ind w:left="360" w:hanging="360"/>
      </w:pPr>
      <w:r>
        <w:rPr>
          <w:rFonts w:ascii="Calibri" w:hAnsi="Calibri"/>
          <w:b/>
          <w:color w:val="525866"/>
          <w:sz w:val="22"/>
        </w:rPr>
        <w:t>Kinder Morgan (KMI) and EQT 2Q26 Earnings Releases / News (July 2026):</w:t>
      </w:r>
      <w:r>
        <w:rPr>
          <w:rFonts w:ascii="Calibri" w:hAnsi="Calibri"/>
          <w:color w:val="525866"/>
          <w:sz w:val="22"/>
        </w:rPr>
        <w:t xml:space="preserve"> Source for natural gas volume and pricing commentary in Section 7.6.</w:t>
      </w:r>
    </w:p>
    <w:p>
      <w:pPr>
        <w:pStyle w:val="ListBullet"/>
        <w:ind w:left="360" w:hanging="360"/>
      </w:pPr>
      <w:r>
        <w:rPr>
          <w:rFonts w:ascii="Calibri" w:hAnsi="Calibri"/>
          <w:b/>
          <w:color w:val="525866"/>
          <w:sz w:val="22"/>
        </w:rPr>
        <w:t>Occidental (OXY) 8-K (July 10, 2026):</w:t>
      </w:r>
      <w:r>
        <w:rPr>
          <w:rFonts w:ascii="Calibri" w:hAnsi="Calibri"/>
          <w:color w:val="525866"/>
          <w:sz w:val="22"/>
        </w:rPr>
        <w:t xml:space="preserve"> Source for Q2 realized oil price data point in Section 7.6.</w:t>
      </w:r>
    </w:p>
    <w:p>
      <w:pPr>
        <w:pStyle w:val="ListBullet"/>
        <w:ind w:left="360" w:hanging="360"/>
      </w:pPr>
      <w:r>
        <w:rPr>
          <w:rFonts w:ascii="Calibri" w:hAnsi="Calibri"/>
          <w:b/>
          <w:color w:val="525866"/>
          <w:sz w:val="22"/>
        </w:rPr>
        <w:t>SEC EDGAR Form 4 Filing Index for EOG Resources (CIK 821189):</w:t>
      </w:r>
      <w:r>
        <w:rPr>
          <w:rFonts w:ascii="Calibri" w:hAnsi="Calibri"/>
          <w:color w:val="525866"/>
          <w:sz w:val="22"/>
        </w:rPr>
        <w:t xml:space="preserve"> Source for insider transaction activity in Section 8.</w:t>
      </w:r>
    </w:p>
    <w:p>
      <w:pPr>
        <w:pStyle w:val="ListBullet"/>
        <w:ind w:left="360" w:hanging="360"/>
      </w:pPr>
      <w:r>
        <w:rPr>
          <w:rFonts w:ascii="Calibri" w:hAnsi="Calibri"/>
          <w:b/>
          <w:color w:val="525866"/>
          <w:sz w:val="22"/>
        </w:rPr>
        <w:t>News Sources (Reuters, WSJ, Bloomberg, Barron’s, CNBC, Washington Post):</w:t>
      </w:r>
      <w:r>
        <w:rPr>
          <w:rFonts w:ascii="Calibri" w:hAnsi="Calibri"/>
          <w:color w:val="525866"/>
          <w:sz w:val="22"/>
        </w:rPr>
        <w:t xml:space="preserve"> Source for macro energy news, Iran conflict developments, Trump political commentary, and peer company news summaries throughout.</w:t>
      </w:r>
    </w:p>
    <w:p>
      <w:pPr>
        <w:pStyle w:val="ListBullet"/>
        <w:ind w:left="360" w:hanging="360"/>
      </w:pPr>
      <w:r>
        <w:rPr>
          <w:rFonts w:ascii="Calibri" w:hAnsi="Calibri"/>
          <w:b/>
          <w:color w:val="525866"/>
          <w:sz w:val="22"/>
        </w:rPr>
        <w:t>EOG Stock Performance Decomposition Data (August 4, 2026):</w:t>
      </w:r>
      <w:r>
        <w:rPr>
          <w:rFonts w:ascii="Calibri" w:hAnsi="Calibri"/>
          <w:color w:val="525866"/>
          <w:sz w:val="22"/>
        </w:rPr>
        <w:t xml:space="preserve"> Source for NTM multiples and price/multiple decomposition in Section 5.</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