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vrg-earnings-predictions--2026-08-06"/>
    <w:p>
      <w:pPr>
        <w:pStyle w:val="Heading1"/>
      </w:pPr>
      <w:r>
        <w:t xml:space="preserve">EVRG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0.81 (co. guide 17-19% of</w:t>
            </w:r>
            <w:r>
              <w:t xml:space="preserve"> </w:t>
            </w:r>
            <m:oMath>
              <m:r>
                <m:t>4.24</m:t>
              </m:r>
              <m:r>
                <m:t>F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 </m:t>
              </m:r>
            </m:oMath>
            <w:r>
              <w:t xml:space="preserve">0.72-0.81; PY $0.82 on a mild-summer comp)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1.52B (load growth ~7% offsets weather noise)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retail load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~+7% vs. cons ~+6% (data-center energization running ahead of plan)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4.24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4.14-</w:t>
            </w:r>
            <m:oMath>
              <m:r>
                <m:t>4.34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4.24 (FY2026); reaffirmation expected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algorithm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6-8%+ through 2030 (&gt;8% from 2028) vs. cons ~6-8% (2026-2030), with upward bias noted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 ESAs signed (sixth ESA / ~3GW pipeline)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 ESAs vs. cons 5 (2026); mgmt guided 'at least one more in 2026' — new signing = key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plan / rate-base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21.6</m:t>
              </m:r>
              <m:r>
                <m:t>B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 </m:t>
              </m:r>
              <m:r>
                <m:t>12</m:t>
              </m:r>
            </m:oMath>
            <w:r>
              <w:t xml:space="preserve">21.6B/~12% (2026-2030); IRP upside possible later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Likely a reaffirm-plus-upbeat-load-narrative print with an in-line, weather/phasing-soft Q2 (guide midpoint ~$0.76 sits below PY $0.82), so there's no fresh upward FY revision to drive follow-through and no clean miss to fade. Out-period math is neutral (implicit soft Q2 offset by strong Q1); low-beta utility with sentiment already cooled ~6% off July highs. Absent a sixth-ESA or capital-plan bump, the small day-1 move stabilizes rather than trends.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2026-08-06T00:34:06Z</dcterms:created>
  <dcterms:modified xsi:type="dcterms:W3CDTF">2026-08-06T00:34:06Z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