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EVRG (Evergy Inc.) to build a comprehensive earnings preview. Let me gather data from multiple sources.I'll read the most recent earnings materials and gather more context.Let me gather the year-ago Q2 comparison, recent news, and stock price data.Let me read the year-ago Q2 2025 release and check for recent developments (IRP, Missouri rate case) via news.Let me check for recent 8-Ks and news to capture any developments since the Q1 call.# Evergy, Inc. (EVRG)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Thursday, August 6, 2026 (2026Q2 Earnings Call) ·</w:t>
      </w:r>
      <w:r>
        <w:t xml:space="preserve"> </w:t>
      </w:r>
      <w:r>
        <w:rPr>
          <w:i/>
          <w:iCs/>
        </w:rPr>
        <w:t xml:space="preserve">Kansas City–based regulated electric utility, ~1.7M customers in Kansas &amp; Missouri</w:t>
      </w:r>
    </w:p>
    <w:p>
      <w:r>
        <w:pict>
          <v:rect style="width:0;height:1.5pt" o:hralign="center" o:hrstd="t" o:hr="t"/>
        </w:pic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Evergy has become a rare "regulated utility with a growth story," and the market has rewarded it — the stock is up roughly</w:t>
      </w:r>
      <w:r>
        <w:t xml:space="preserve"> </w:t>
      </w:r>
      <w:r>
        <w:rPr>
          <w:b/>
          <w:bCs/>
        </w:rPr>
        <w:t xml:space="preserve">14% YTD</w:t>
      </w:r>
      <w:r>
        <w:t xml:space="preserve"> </w:t>
      </w:r>
      <w:r>
        <w:t xml:space="preserve">(from ~</w:t>
      </w:r>
      <m:oMath>
        <m:r>
          <m:t>73</m:t>
        </m:r>
        <m:r>
          <m:t>t</m:t>
        </m:r>
        <m:r>
          <m:t>o</m:t>
        </m:r>
        <m:r>
          <m:t> </m:t>
        </m:r>
      </m:oMath>
      <w:r>
        <w:t xml:space="preserve">83) and has meaningfully outperformed the utility sector (XLU roughly flat over the same span). The Q2 print itself is likely a sideshow; the report is really about</w:t>
      </w:r>
      <w:r>
        <w:t xml:space="preserve"> </w:t>
      </w:r>
      <w:r>
        <w:rPr>
          <w:b/>
          <w:bCs/>
        </w:rPr>
        <w:t xml:space="preserve">large-load/data-center momentum, the capital plan trajectory, and regulatory milestones</w:t>
      </w:r>
      <w:r>
        <w:t xml:space="preserve">. Weather and share count could make the headline optically soft, so watch the narrative more than the number.</w:t>
      </w:r>
    </w:p>
    <w:p>
      <w:r>
        <w:pict>
          <v:rect style="width:0;height:1.5pt" o:hralign="center" o:hrstd="t" o:hr="t"/>
        </w:pict>
      </w:r>
    </w:p>
    <w:bookmarkEnd w:id="9"/>
    <w:bookmarkStart w:id="10" w:name="what-the-numbers-should-look-like"/>
    <w:p>
      <w:pPr>
        <w:pStyle w:val="Heading2"/>
      </w:pPr>
      <w:r>
        <w:t xml:space="preserve">What the Numbers Should Look Like</w:t>
      </w:r>
    </w:p>
    <w:p>
      <w:pPr>
        <w:pStyle w:val="FirstParagraph"/>
      </w:pPr>
      <w:r>
        <w:rPr>
          <w:b/>
          <w:bCs/>
        </w:rPr>
        <w:t xml:space="preserve">Company's own guidance for Q2:</w:t>
      </w:r>
      <w:r>
        <w:t xml:space="preserve"> </w:t>
      </w:r>
      <w:r>
        <w:t xml:space="preserve">On the Q1 call, management framed Q2 as</w:t>
      </w:r>
      <w:r>
        <w:t xml:space="preserve"> </w:t>
      </w:r>
      <w:r>
        <w:rPr>
          <w:b/>
          <w:bCs/>
        </w:rPr>
        <w:t xml:space="preserve">17%–19% of the</w:t>
      </w:r>
      <w:r>
        <w:rPr>
          <w:b/>
          <w:bCs/>
        </w:rPr>
        <w:t xml:space="preserve"> </w:t>
      </w:r>
      <m:oMath>
        <m:r>
          <m:t>4.24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c</m:t>
        </m:r>
        <m:r>
          <m:t>h</m:t>
        </m:r>
        <m:r>
          <m:t>p</m:t>
        </m:r>
        <m:r>
          <m:t>e</m:t>
        </m:r>
        <m:r>
          <m:t>n</m:t>
        </m:r>
        <m:r>
          <m:t>c</m:t>
        </m:r>
        <m:r>
          <m:t>i</m:t>
        </m:r>
        <m:r>
          <m:t>l</m:t>
        </m:r>
        <m:r>
          <m:t>s</m:t>
        </m:r>
        <m:r>
          <m:t>o</m:t>
        </m:r>
        <m:r>
          <m:t>u</m:t>
        </m:r>
        <m:r>
          <m:t>t</m:t>
        </m:r>
        <m:r>
          <m:t>t</m:t>
        </m:r>
        <m:r>
          <m:t>o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0.72–$0.81 in adjusted EPS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2026E (implied)</w:t>
            </w:r>
          </w:p>
        </w:tc>
        <w:tc>
          <w:tcPr/>
          <w:p>
            <w:pPr>
              <w:pStyle w:val="Compact"/>
            </w:pPr>
            <w:r>
              <w:t xml:space="preserve">Q2 2025A</w:t>
            </w:r>
          </w:p>
        </w:tc>
        <w:tc>
          <w:tcPr/>
          <w:p>
            <w:pPr>
              <w:pStyle w:val="Compact"/>
            </w:pPr>
            <w:r>
              <w:t xml:space="preserve">Q2 2024A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0.72</m:t>
              </m:r>
              <m:r>
                <m:rPr>
                  <m:sty m:val="p"/>
                </m:rPr>
                <m:t>–</m:t>
              </m:r>
            </m:oMath>
            <w:r>
              <w:t xml:space="preserve">0.81</w:t>
            </w:r>
          </w:p>
        </w:tc>
        <w:tc>
          <w:tcPr/>
          <w:p>
            <w:pPr>
              <w:pStyle w:val="Compact"/>
            </w:pPr>
            <w:r>
              <w:t xml:space="preserve">$0.82</w:t>
            </w:r>
          </w:p>
        </w:tc>
        <w:tc>
          <w:tcPr/>
          <w:p>
            <w:pPr>
              <w:pStyle w:val="Compact"/>
            </w:pPr>
            <w:r>
              <w:t xml:space="preserve">$0.90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$0.74</w:t>
            </w:r>
          </w:p>
        </w:tc>
        <w:tc>
          <w:tcPr/>
          <w:p>
            <w:pPr>
              <w:pStyle w:val="Compact"/>
            </w:pPr>
            <w:r>
              <w:t xml:space="preserve">$0.90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nuance:</w:t>
      </w:r>
      <w:r>
        <w:t xml:space="preserve"> </w:t>
      </w:r>
      <w:r>
        <w:t xml:space="preserve">At the ~$0.76 midpoint, the guide actually sits</w:t>
      </w:r>
      <w:r>
        <w:t xml:space="preserve"> </w:t>
      </w:r>
      <w:r>
        <w:rPr>
          <w:i/>
          <w:iCs/>
        </w:rPr>
        <w:t xml:space="preserve">below</w:t>
      </w:r>
      <w:r>
        <w:t xml:space="preserve"> </w:t>
      </w:r>
      <w:r>
        <w:t xml:space="preserve">last year's $0.82. That's mostly phasing (Q1 came in very strong at $0.69 vs.</w:t>
      </w:r>
      <w:r>
        <w:t xml:space="preserve"> </w:t>
      </w:r>
      <m:oMath>
        <m:r>
          <m:t>0.55</m:t>
        </m:r>
        <m:r>
          <m:rPr>
            <m:sty m:val="p"/>
          </m:rPr>
          <m:t>,</m:t>
        </m:r>
        <m:r>
          <m:rPr>
            <m:sty m:val="p"/>
          </m:rPr>
          <m:t>+</m:t>
        </m:r>
      </m:oMath>
      <w:r>
        <w:t xml:space="preserve">0.14 YoY) plus higher O&amp;M, depreciation, and interest, and a rising share count from equity issuance. Don't read a flat-to-down Q2 as a thesis change — the full-year midpoint is what matters.</w:t>
      </w:r>
    </w:p>
    <w:p>
      <w:pPr>
        <w:pStyle w:val="BodyText"/>
      </w:pPr>
      <w:r>
        <w:rPr>
          <w:b/>
          <w:bCs/>
        </w:rPr>
        <w:t xml:space="preserve">Weather is the swing factor.</w:t>
      </w:r>
      <w:r>
        <w:t xml:space="preserve"> </w:t>
      </w:r>
      <w:r>
        <w:t xml:space="preserve">Q2 2025 was hurt by a</w:t>
      </w:r>
      <w:r>
        <w:t xml:space="preserve"> </w:t>
      </w:r>
      <w:r>
        <w:rPr>
          <w:b/>
          <w:bCs/>
        </w:rPr>
        <w:t xml:space="preserve">26% drop in cooling degree days</w:t>
      </w:r>
      <w:r>
        <w:t xml:space="preserve"> </w:t>
      </w:r>
      <w:r>
        <w:t xml:space="preserve">(a mild summer). That sets up an easier comp</w:t>
      </w:r>
      <w:r>
        <w:t xml:space="preserve"> </w:t>
      </w:r>
      <w:r>
        <w:rPr>
          <w:i/>
          <w:iCs/>
        </w:rPr>
        <w:t xml:space="preserve">if</w:t>
      </w:r>
      <w:r>
        <w:t xml:space="preserve"> </w:t>
      </w:r>
      <w:r>
        <w:t xml:space="preserve">summer 2026 ran warmer. Q1 2026 was the mirror image — mild winter cost ~$0.06 vs. budget, which management said it would offset with amended-ESA margin and other revenues.</w:t>
      </w:r>
    </w:p>
    <w:p>
      <w:r>
        <w:pict>
          <v:rect style="width:0;height:1.5pt" o:hralign="center" o:hrstd="t" o:hr="t"/>
        </w:pict>
      </w:r>
    </w:p>
    <w:bookmarkEnd w:id="10"/>
    <w:bookmarkStart w:id="11" w:name="the-real-story-large-load--data-centers"/>
    <w:p>
      <w:pPr>
        <w:pStyle w:val="Heading2"/>
      </w:pPr>
      <w:r>
        <w:t xml:space="preserve">The Real Story: Large Load / Data Centers</w:t>
      </w:r>
    </w:p>
    <w:p>
      <w:pPr>
        <w:pStyle w:val="FirstParagraph"/>
      </w:pPr>
      <w:r>
        <w:t xml:space="preserve">This is Evergy's differentiator and the single most important thing to track.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Five ESAs signed</w:t>
      </w:r>
      <w:r>
        <w:t xml:space="preserve"> </w:t>
      </w:r>
      <w:r>
        <w:t xml:space="preserve">under the Large Load Power Service (LLPS) tariff, totaling</w:t>
      </w:r>
      <w:r>
        <w:t xml:space="preserve"> </w:t>
      </w:r>
      <w:r>
        <w:rPr>
          <w:b/>
          <w:bCs/>
        </w:rPr>
        <w:t xml:space="preserve">~3 GW of steady-state peak</w:t>
      </w:r>
      <w:r>
        <w:t xml:space="preserve"> </w:t>
      </w:r>
      <w:r>
        <w:t xml:space="preserve">(including Panasonic's EV battery plant). Counterparties include</w:t>
      </w:r>
      <w:r>
        <w:t xml:space="preserve"> </w:t>
      </w:r>
      <w:r>
        <w:rPr>
          <w:b/>
          <w:bCs/>
        </w:rPr>
        <w:t xml:space="preserve">Google (x2) and Meta</w:t>
      </w:r>
      <w:r>
        <w:t xml:space="preserve">, plus a BBB+ developer working with a hyperscaler offtaker (announced Q1).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Retail load-growth CAGR raised to ~7–8% through 2030</w:t>
      </w:r>
      <w:r>
        <w:t xml:space="preserve"> </w:t>
      </w:r>
      <w:r>
        <w:t xml:space="preserve">(up from 6%) — exceptional for a regulated utility.</w:t>
      </w:r>
    </w:p>
    <w:p>
      <w:pPr>
        <w:pStyle w:val="Compact"/>
        <w:numPr>
          <w:ilvl w:val="0"/>
          <w:numId w:val="1001"/>
        </w:numPr>
      </w:pPr>
      <w:r>
        <w:t xml:space="preserve">LLPS contracts carry</w:t>
      </w:r>
      <w:r>
        <w:t xml:space="preserve"> </w:t>
      </w:r>
      <w:r>
        <w:rPr>
          <w:b/>
          <w:bCs/>
        </w:rPr>
        <w:t xml:space="preserve">minimum-bill protections</w:t>
      </w:r>
      <w:r>
        <w:t xml:space="preserve">, run ~16–17 years, and charge a</w:t>
      </w:r>
      <w:r>
        <w:t xml:space="preserve"> </w:t>
      </w:r>
      <w:r>
        <w:rPr>
          <w:b/>
          <w:bCs/>
        </w:rPr>
        <w:t xml:space="preserve">premium rate</w:t>
      </w:r>
      <w:r>
        <w:t xml:space="preserve"> </w:t>
      </w:r>
      <w:r>
        <w:t xml:space="preserve">that covers system costs — the affordability "flywheel" management repeatedly emphasizes.</w:t>
      </w:r>
    </w:p>
    <w:p>
      <w:pPr>
        <w:pStyle w:val="FirstParagraph"/>
      </w:pPr>
      <w:r>
        <w:rPr>
          <w:b/>
          <w:bCs/>
        </w:rPr>
        <w:t xml:space="preserve">What to listen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 sixth ESA.</w:t>
      </w:r>
      <w:r>
        <w:t xml:space="preserve"> </w:t>
      </w:r>
      <w:r>
        <w:t xml:space="preserve">Management has explicitly guided to</w:t>
      </w:r>
      <w:r>
        <w:t xml:space="preserve"> </w:t>
      </w:r>
      <w:r>
        <w:rPr>
          <w:b/>
          <w:bCs/>
        </w:rPr>
        <w:t xml:space="preserve">"at least one more ESA in 2026,"</w:t>
      </w:r>
      <w:r>
        <w:t xml:space="preserve"> </w:t>
      </w:r>
      <w:r>
        <w:t xml:space="preserve">which would be upside to the current plan. A new signing (or hints of one) is the most likely positive catalyst.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Pipeline color</w:t>
      </w:r>
      <w:r>
        <w:t xml:space="preserve"> </w:t>
      </w:r>
      <w:r>
        <w:t xml:space="preserve">— Tier 1 expansions (~1–1.5 GW), Tier 2 (~1.5–3 GW), and a &gt;10 GW broader queue. Any conversion progress matters.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Ramp timing</w:t>
      </w:r>
      <w:r>
        <w:t xml:space="preserve"> </w:t>
      </w:r>
      <w:r>
        <w:t xml:space="preserve">— the March data-center energization ran ~2 months ahead of plan; watch whether load is materializing faster than modeled.</w:t>
      </w:r>
    </w:p>
    <w:p>
      <w:r>
        <w:pict>
          <v:rect style="width:0;height:1.5pt" o:hralign="center" o:hrstd="t" o:hr="t"/>
        </w:pict>
      </w:r>
    </w:p>
    <w:bookmarkEnd w:id="11"/>
    <w:bookmarkStart w:id="12" w:name="Xc3eb7e3d154e9475b503d2e17ef222f6e5e8cbb"/>
    <w:p>
      <w:pPr>
        <w:pStyle w:val="Heading2"/>
      </w:pPr>
      <w:r>
        <w:t xml:space="preserve">Capital Plan, Balance Sheet &amp; Guidance to Watch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2026 adjusted EPS guidance:</w:t>
      </w:r>
      <w:r>
        <w:rPr>
          <w:b/>
          <w:bCs/>
        </w:rPr>
        <w:t xml:space="preserve"> </w:t>
      </w:r>
      <m:oMath>
        <m:r>
          <m:t>4.14</m:t>
        </m:r>
        <m:r>
          <m:rPr>
            <m:sty m:val="p"/>
          </m:rPr>
          <m:t>–</m:t>
        </m:r>
      </m:oMath>
      <w:r>
        <w:rPr>
          <w:b/>
          <w:bCs/>
        </w:rPr>
        <w:t xml:space="preserve">4.34 (midpoint $4.24)</w:t>
      </w:r>
      <w:r>
        <w:t xml:space="preserve"> </w:t>
      </w:r>
      <w:r>
        <w:t xml:space="preserve">— expect a reaffirmation. Any raise would be a surprise.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Long-term algo:</w:t>
      </w:r>
      <w:r>
        <w:t xml:space="preserve"> </w:t>
      </w:r>
      <w:r>
        <w:t xml:space="preserve">6–8%+ EPS growth through 2030 off the $4.24 base, with</w:t>
      </w:r>
      <w:r>
        <w:t xml:space="preserve"> </w:t>
      </w:r>
      <w:r>
        <w:rPr>
          <w:b/>
          <w:bCs/>
        </w:rPr>
        <w:t xml:space="preserve">&gt;8% annual growth beginning in 2028</w:t>
      </w:r>
      <w:r>
        <w:t xml:space="preserve">, and a stated</w:t>
      </w:r>
      <w:r>
        <w:t xml:space="preserve"> </w:t>
      </w:r>
      <w:r>
        <w:rPr>
          <w:i/>
          <w:iCs/>
        </w:rPr>
        <w:t xml:space="preserve">upward bias</w:t>
      </w:r>
      <w:r>
        <w:t xml:space="preserve"> </w:t>
      </w:r>
      <w:r>
        <w:t xml:space="preserve">from the newest ESAs.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plan $21.6B</w:t>
      </w:r>
      <w:r>
        <w:t xml:space="preserve">; rate base CAGR nudged to</w:t>
      </w:r>
      <w:r>
        <w:t xml:space="preserve"> </w:t>
      </w:r>
      <w:r>
        <w:rPr>
          <w:b/>
          <w:bCs/>
        </w:rPr>
        <w:t xml:space="preserve">~12%</w:t>
      </w:r>
      <w:r>
        <w:t xml:space="preserve"> </w:t>
      </w:r>
      <w:r>
        <w:t xml:space="preserve">(from 11.5%), with the pending IRPs framed as "modest upside." Watch for further capital-plan revisions tied to IRP/CCN filings.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Equity funding:</w:t>
      </w:r>
      <w:r>
        <w:t xml:space="preserve"> </w:t>
      </w:r>
      <m:oMath>
        <m:r>
          <m:t>700</m:t>
        </m:r>
        <m:r>
          <m:t>M</m:t>
        </m:r>
        <m:r>
          <m:rPr>
            <m:sty m:val="p"/>
          </m:rPr>
          <m:t>–</m:t>
        </m:r>
      </m:oMath>
      <w:r>
        <w:t xml:space="preserve">900M/year 2026–2029 (~$3.3B total); only $125M priced so far in 2026, rest to be dribbled through the ATM (no block planned). Dilution is a known headwind to per-share growth.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FFO/debt:</w:t>
      </w:r>
      <w:r>
        <w:t xml:space="preserve"> </w:t>
      </w:r>
      <w:r>
        <w:t xml:space="preserve">14–15% for 2026–2028, strengthening thereafter — credit metrics improving, aided by the nuclear PTC flowback.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Recent financing:</w:t>
      </w:r>
      <w:r>
        <w:t xml:space="preserve"> </w:t>
      </w:r>
      <w:r>
        <w:t xml:space="preserve">July issuance of</w:t>
      </w:r>
      <w:r>
        <w:t xml:space="preserve"> </w:t>
      </w:r>
      <m:oMath>
        <m:r>
          <m:t>350</m:t>
        </m:r>
        <m:r>
          <m:t>M</m:t>
        </m:r>
        <m:r>
          <m:t>E</m:t>
        </m:r>
        <m:r>
          <m:t>v</m:t>
        </m:r>
        <m:r>
          <m:t>e</m:t>
        </m:r>
        <m:r>
          <m:t>r</m:t>
        </m:r>
        <m:r>
          <m:t>g</m:t>
        </m:r>
        <m:r>
          <m:t>y</m:t>
        </m:r>
        <m:r>
          <m:t>K</m:t>
        </m:r>
        <m:r>
          <m:t>a</m:t>
        </m:r>
        <m:r>
          <m:t>n</m:t>
        </m:r>
        <m:r>
          <m:t>s</m:t>
        </m:r>
        <m:r>
          <m:t>a</m:t>
        </m:r>
        <m:r>
          <m:t>s</m:t>
        </m:r>
        <m:r>
          <m:t>C</m:t>
        </m:r>
        <m:r>
          <m:t>e</m:t>
        </m:r>
        <m:r>
          <m:t>n</m:t>
        </m:r>
        <m:r>
          <m:t>t</m:t>
        </m:r>
        <m:r>
          <m:t>r</m:t>
        </m:r>
        <m:r>
          <m:t>a</m:t>
        </m:r>
        <m:r>
          <m:t>l</m:t>
        </m:r>
        <m:r>
          <m:t>m</m:t>
        </m:r>
        <m:r>
          <m:t>o</m:t>
        </m:r>
        <m:r>
          <m:t>r</m:t>
        </m:r>
        <m:r>
          <m:t>t</m:t>
        </m:r>
        <m:r>
          <m:t>g</m:t>
        </m:r>
        <m:r>
          <m:t>a</m:t>
        </m:r>
        <m:r>
          <m:t>g</m:t>
        </m:r>
        <m:r>
          <m:t>e</m:t>
        </m:r>
        <m:r>
          <m:t>b</m:t>
        </m:r>
        <m:r>
          <m:t>o</m:t>
        </m:r>
        <m:r>
          <m:t>n</m:t>
        </m:r>
        <m:r>
          <m:t>d</m:t>
        </m:r>
        <m:r>
          <m:t>s</m:t>
        </m:r>
        <m:r>
          <m:t>a</m:t>
        </m:r>
        <m:r>
          <m:t>t</m:t>
        </m:r>
        <m:r>
          <m:t>5.300</m:t>
        </m:r>
      </m:oMath>
      <w:r>
        <w:rPr>
          <w:b/>
          <w:bCs/>
        </w:rPr>
        <w:t xml:space="preserve">3.5B revolving credit facility</w:t>
      </w:r>
      <w:r>
        <w:t xml:space="preserve"> </w:t>
      </w:r>
      <w:r>
        <w:t xml:space="preserve">— balance-sheet housekeeping ahead of the heavy capex years.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Dividend:</w:t>
      </w:r>
      <w:r>
        <w:t xml:space="preserve"> </w:t>
      </w:r>
      <w:r>
        <w:t xml:space="preserve">raised to</w:t>
      </w:r>
      <w:r>
        <w:t xml:space="preserve"> </w:t>
      </w:r>
      <w:r>
        <w:rPr>
          <w:b/>
          <w:bCs/>
        </w:rPr>
        <w:t xml:space="preserve">$0.6950/quarter</w:t>
      </w:r>
      <w:r>
        <w:t xml:space="preserve"> </w:t>
      </w:r>
      <w:r>
        <w:t xml:space="preserve">in 2026 (from $0.6675), ~4% growth.</w:t>
      </w:r>
    </w:p>
    <w:p>
      <w:r>
        <w:pict>
          <v:rect style="width:0;height:1.5pt" o:hralign="center" o:hrstd="t" o:hr="t"/>
        </w:pict>
      </w:r>
    </w:p>
    <w:bookmarkEnd w:id="12"/>
    <w:bookmarkStart w:id="13" w:name="regulatory-calendar--key-catalysts"/>
    <w:p>
      <w:pPr>
        <w:pStyle w:val="Heading2"/>
      </w:pPr>
      <w:r>
        <w:t xml:space="preserve">Regulatory Calendar — Key Catalysts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Missouri Metro rate case</w:t>
      </w:r>
      <w:r>
        <w:t xml:space="preserve"> </w:t>
      </w:r>
      <w:r>
        <w:t xml:space="preserve">(filed Feb 6): staff/intervenor testimony was due June 30;</w:t>
      </w:r>
      <w:r>
        <w:t xml:space="preserve"> </w:t>
      </w:r>
      <w:r>
        <w:rPr>
          <w:b/>
          <w:bCs/>
        </w:rPr>
        <w:t xml:space="preserve">settlement conferences Sept 23–24</w:t>
      </w:r>
      <w:r>
        <w:t xml:space="preserve">, hearings begin Oct 5, new rates ~Jan 1, 2027.</w:t>
      </w:r>
      <w:r>
        <w:t xml:space="preserve"> </w:t>
      </w:r>
      <w:r>
        <w:rPr>
          <w:i/>
          <w:iCs/>
        </w:rPr>
        <w:t xml:space="preserve">A settlement is unlikely to land by this call</w:t>
      </w:r>
      <w:r>
        <w:t xml:space="preserve">, but updated positioning/tone is worth watching (Evergy has settled its last several cases in both states).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2026 IRPs</w:t>
      </w:r>
      <w:r>
        <w:t xml:space="preserve"> </w:t>
      </w:r>
      <w:r>
        <w:t xml:space="preserve">filed in both Kansas and Missouri, reflecting higher demand, SPP capacity reserve changes, federal tax-credit policy shifts, and updated coal-retirement schedules. Expect a cadence of</w:t>
      </w:r>
      <w:r>
        <w:t xml:space="preserve"> </w:t>
      </w:r>
      <w:r>
        <w:rPr>
          <w:b/>
          <w:bCs/>
        </w:rPr>
        <w:t xml:space="preserve">CCN / generation predetermination filings</w:t>
      </w:r>
      <w:r>
        <w:t xml:space="preserve"> </w:t>
      </w:r>
      <w:r>
        <w:t xml:space="preserve">through the balance of the year — these underpin the all-of-the-above (gas, solar, storage) buildout and future rate-base upside.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Nuclear PTCs:</w:t>
      </w:r>
      <w:r>
        <w:t xml:space="preserve"> </w:t>
      </w:r>
      <w:r>
        <w:t xml:space="preserve">Kansas approved a 3-year flowback of &gt;$100M/year in deferred nuclear production tax credits — an affordability positive that also supports credit metrics.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Missouri West</w:t>
      </w:r>
      <w:r>
        <w:t xml:space="preserve"> </w:t>
      </w:r>
      <w:r>
        <w:t xml:space="preserve">flagged as the jurisdiction most likely to see</w:t>
      </w:r>
      <w:r>
        <w:t xml:space="preserve"> </w:t>
      </w:r>
      <w:r>
        <w:rPr>
          <w:b/>
          <w:bCs/>
        </w:rPr>
        <w:t xml:space="preserve">above-inflation rate increases</w:t>
      </w:r>
      <w:r>
        <w:t xml:space="preserve"> </w:t>
      </w:r>
      <w:r>
        <w:t xml:space="preserve">as baseload/dispatchable investment ramps; a next case is expected late-2026/early-2027.</w:t>
      </w:r>
    </w:p>
    <w:p>
      <w:r>
        <w:pict>
          <v:rect style="width:0;height:1.5pt" o:hralign="center" o:hrstd="t" o:hr="t"/>
        </w:pict>
      </w:r>
    </w:p>
    <w:bookmarkEnd w:id="13"/>
    <w:bookmarkStart w:id="14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Going into the print, the burden of proof is on</w:t>
      </w:r>
      <w:r>
        <w:t xml:space="preserve"> </w:t>
      </w:r>
      <w:r>
        <w:rPr>
          <w:b/>
          <w:bCs/>
        </w:rPr>
        <w:t xml:space="preserve">execution and the growth narrative</w:t>
      </w:r>
      <w:r>
        <w:t xml:space="preserve">, not the quarter. A likely playbook: a Q2 EPS number around/below the year-ago $0.82 (weather- and phasing-driven), a</w:t>
      </w:r>
      <w:r>
        <w:t xml:space="preserve"> </w:t>
      </w:r>
      <w:r>
        <w:rPr>
          <w:b/>
          <w:bCs/>
        </w:rPr>
        <w:t xml:space="preserve">reaffirmed $4.24 midpoint</w:t>
      </w:r>
      <w:r>
        <w:t xml:space="preserve">, and continued upbeat commentary on load growth, the capital plan, and a potential sixth ESA.</w:t>
      </w:r>
    </w:p>
    <w:p>
      <w:pPr>
        <w:pStyle w:val="BodyText"/>
      </w:pPr>
      <w:r>
        <w:rPr>
          <w:b/>
          <w:bCs/>
        </w:rPr>
        <w:t xml:space="preserve">Bull case triggers:</w:t>
      </w:r>
      <w:r>
        <w:t xml:space="preserve"> </w:t>
      </w:r>
      <w:r>
        <w:t xml:space="preserve">a new/sixth ESA announcement, IRP-driven capital-plan increase, warmer-summer weather beat, constructive Missouri signals.</w:t>
      </w:r>
      <w:r>
        <w:t xml:space="preserve"> </w:t>
      </w:r>
      <w:r>
        <w:rPr>
          <w:b/>
          <w:bCs/>
        </w:rPr>
        <w:t xml:space="preserve">Watch-outs:</w:t>
      </w:r>
      <w:r>
        <w:t xml:space="preserve"> </w:t>
      </w:r>
      <w:r>
        <w:t xml:space="preserve">any hint of guidance risk, equity-financing/dilution overhang, Missouri rate-case friction, or large-load ramp/timing slippage. With the stock having already pulled back ~6% from its early-July highs (~</w:t>
      </w:r>
      <m:oMath>
        <m:r>
          <m:t>88</m:t>
        </m:r>
        <m:r>
          <m:t>t</m:t>
        </m:r>
        <m:r>
          <m:t>o</m:t>
        </m:r>
        <m:r>
          <m:t> </m:t>
        </m:r>
      </m:oMath>
      <w:r>
        <w:t xml:space="preserve">83), sentiment is somewhat cooler heading in — leaving room for a positive surprise if management delivers another ESA or nudges the capital plan higher.</w:t>
      </w:r>
    </w:p>
    <w:p>
      <w:pPr>
        <w:pStyle w:val="BodyText"/>
      </w:pPr>
      <w:r>
        <w:rPr>
          <w:i/>
          <w:iCs/>
        </w:rPr>
        <w:t xml:space="preserve">Note: All figures above are drawn from Evergy's own filings, releases, and the Q1 2026 call; consensus estimates were not independently available in the sources reviewed.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2026-08-06T00:34:06Z</dcterms:created>
  <dcterms:modified xsi:type="dcterms:W3CDTF">2026-08-06T00:34:06Z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