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vrg-earnings-predictions--2026-08-06"/>
    <w:p>
      <w:pPr>
        <w:pStyle w:val="Heading1"/>
      </w:pPr>
      <w:r>
        <w:t xml:space="preserve">EVRG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0.86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0.845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1.42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1.415B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Weather-normalized retail sales/large-load growth (y/y %)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~7.5% vs. cons ~6.0%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4.14</m:t>
              </m:r>
              <m:r>
                <m:rPr>
                  <m:sty m:val="p"/>
                </m:rPr>
                <m:t>−</m:t>
              </m:r>
            </m:oMath>
            <w:r>
              <w:t xml:space="preserve">4.34 (mid</w:t>
            </w:r>
            <w:r>
              <w:t xml:space="preserve"> </w:t>
            </w:r>
            <m:oMath>
              <m:r>
                <m:t>4.24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4.24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retail load growth CAGR through 2030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~7-8% vs. cons/prior ~6% (through 2030)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5-yr capital plan / rate-base CAGR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~$21.6B+ (rate-base CAGR ~12%) vs. prior $21.6B/~11.5% (5-yr plan 2026-2030)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(STABILIZE)</w:t>
            </w:r>
          </w:p>
        </w:tc>
        <w:tc>
          <w:tcPr/>
          <w:p>
            <w:pPr>
              <w:pStyle w:val="Compact"/>
            </w:pPr>
            <w:r>
              <w:t xml:space="preserve">An in-line-to-modest EPS beat against already-elevated Street numbers, combined with a reaffirmed (not raised) FY guide, limits upward estimate revisions even if Q2 beats; the stock's prior 12-month +13.7% outperformance vs. XLU and premium valuation leave limited room for a big follow-through pop, but continued ESA/IRP news flow and improved credit metrics should prevent a real fade, netting out to a stabilization pattern over the week.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2026-08-06T00:33:56Z</dcterms:created>
  <dcterms:modified xsi:type="dcterms:W3CDTF">2026-08-06T00:33:56Z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