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vrg-earnings-predictions--2026-08-06"/>
    <w:p>
      <w:pPr>
        <w:pStyle w:val="Heading1"/>
      </w:pPr>
      <w:r>
        <w:t xml:space="preserve">EVRG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~$0.83 vs. cons $0.81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~$1.43B vs. cons $1.39B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Weather-normalized retail demand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~4.2% vs. cons 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~$4.24 midpoint vs. cons $4.25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Retail load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investment plan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~$22.0B vs. cons $21.6B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FFO-to-debt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~14.5% midpoint vs. cons 14.5% (2026-2028)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Additional signed ESA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 additional ESA vs. cons 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An EPS and demand beat should support the initial reaction, but unchanged FY2026 guidance implies no meaningful increase versus the ~$4.25 consensus. The 6%-8% 2027 growth framework implies roughly</w:t>
            </w:r>
            <w:r>
              <w:t xml:space="preserve"> </w:t>
            </w:r>
            <m:oMath>
              <m:r>
                <m:t>4.49</m:t>
              </m:r>
              <m:r>
                <m:rPr>
                  <m:sty m:val="p"/>
                </m:rPr>
                <m:t>−</m:t>
              </m:r>
            </m:oMath>
            <w:r>
              <w:t xml:space="preserve">4.58 versus $4.55 consensus, limiting out-period revisions, while higher capital spending and associated equity needs temper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2026-08-06T00:33:47Z</dcterms:created>
  <dcterms:modified xsi:type="dcterms:W3CDTF">2026-08-06T00:33:47Z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