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evergy-evrg-2026q2-earnings-preview"/>
    <w:p>
      <w:pPr>
        <w:pStyle w:val="Heading1"/>
      </w:pPr>
      <w:r>
        <w:t xml:space="preserve">Evergy (EVRG) 2026Q2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Evergy is scheduled to release results</w:t>
      </w:r>
      <w:r>
        <w:t xml:space="preserve"> </w:t>
      </w:r>
      <w:r>
        <w:rPr>
          <w:b/>
          <w:bCs/>
        </w:rPr>
        <w:t xml:space="preserve">before the market opens on Thursday, August 6, 2026</w:t>
      </w:r>
      <w:r>
        <w:t xml:space="preserve">, followed by its conference call at</w:t>
      </w:r>
      <w:r>
        <w:t xml:space="preserve"> </w:t>
      </w:r>
      <w:r>
        <w:rPr>
          <w:b/>
          <w:bCs/>
        </w:rPr>
        <w:t xml:space="preserve">9:00 a.m. ET</w:t>
      </w:r>
      <w:r>
        <w:t xml:space="preserve">. Given today’s date, the report is</w:t>
      </w:r>
      <w:r>
        <w:t xml:space="preserve"> </w:t>
      </w:r>
      <w:r>
        <w:rPr>
          <w:b/>
          <w:bCs/>
        </w:rPr>
        <w:t xml:space="preserve">today—not tomorrow</w:t>
      </w:r>
      <w:r>
        <w:t xml:space="preserve">. (</w:t>
      </w:r>
      <w:hyperlink r:id="rId9">
        <w:r>
          <w:rPr>
            <w:rStyle w:val="Hyperlink"/>
          </w:rPr>
          <w:t xml:space="preserve">newsroom.evergy.com</w:t>
        </w:r>
      </w:hyperlink>
      <w:r>
        <w:t xml:space="preserve">)</w:t>
      </w:r>
    </w:p>
    <w:bookmarkStart w:id="10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The quarterly EPS result matters, but the larger issue is whether Evergy can continue converting its unusually strong data-center pipeline into</w:t>
      </w:r>
      <w:r>
        <w:t xml:space="preserve"> </w:t>
      </w:r>
      <w:r>
        <w:rPr>
          <w:b/>
          <w:bCs/>
        </w:rPr>
        <w:t xml:space="preserve">contracted load, regulated investment and earnings growth without weakening affordability or its balance sheet</w:t>
      </w:r>
      <w:r>
        <w:t xml:space="preserve">.</w:t>
      </w:r>
    </w:p>
    <w:p>
      <w:pPr>
        <w:pStyle w:val="BodyText"/>
      </w:pPr>
      <w:r>
        <w:t xml:space="preserve">Management entered the quarter with considerable momentum:</w:t>
      </w:r>
    </w:p>
    <w:p>
      <w:pPr>
        <w:pStyle w:val="Compact"/>
        <w:numPr>
          <w:ilvl w:val="0"/>
          <w:numId w:val="1001"/>
        </w:numPr>
      </w:pPr>
      <w:r>
        <w:t xml:space="preserve">Five signed large-customer electric service agreements, principally for data centers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3 GW of aggregate large-customer peak demand</w:t>
      </w:r>
      <w:r>
        <w:t xml:space="preserve">, including existing large industrial customers</w:t>
      </w:r>
    </w:p>
    <w:p>
      <w:pPr>
        <w:pStyle w:val="Compact"/>
        <w:numPr>
          <w:ilvl w:val="0"/>
          <w:numId w:val="1001"/>
        </w:numPr>
      </w:pPr>
      <w:r>
        <w:t xml:space="preserve">Expected retail load growth of roughly</w:t>
      </w:r>
      <w:r>
        <w:t xml:space="preserve"> </w:t>
      </w:r>
      <w:r>
        <w:rPr>
          <w:b/>
          <w:bCs/>
        </w:rPr>
        <w:t xml:space="preserve">7%–8% annually through 2030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$21.6 billion</w:t>
      </w:r>
      <w:r>
        <w:t xml:space="preserve"> </w:t>
      </w:r>
      <w:r>
        <w:t xml:space="preserve">capital plan and approximately</w:t>
      </w:r>
      <w:r>
        <w:t xml:space="preserve"> </w:t>
      </w:r>
      <w:r>
        <w:rPr>
          <w:b/>
          <w:bCs/>
        </w:rPr>
        <w:t xml:space="preserve">12% rate-base CAGR</w:t>
      </w:r>
    </w:p>
    <w:p>
      <w:pPr>
        <w:pStyle w:val="Compact"/>
        <w:numPr>
          <w:ilvl w:val="0"/>
          <w:numId w:val="1001"/>
        </w:numPr>
      </w:pPr>
      <w:r>
        <w:t xml:space="preserve">A long-term adjusted EPS growth target of</w:t>
      </w:r>
      <w:r>
        <w:t xml:space="preserve"> </w:t>
      </w:r>
      <w:r>
        <w:rPr>
          <w:b/>
          <w:bCs/>
        </w:rPr>
        <w:t xml:space="preserve">6%–8%+</w:t>
      </w:r>
      <w:r>
        <w:t xml:space="preserve">, with growth expected to exceed 8% beginning in 2028</w:t>
      </w:r>
    </w:p>
    <w:p>
      <w:pPr>
        <w:pStyle w:val="Compact"/>
        <w:numPr>
          <w:ilvl w:val="0"/>
          <w:numId w:val="1001"/>
        </w:numPr>
      </w:pPr>
      <w:r>
        <w:t xml:space="preserve">An expectation for at least</w:t>
      </w:r>
      <w:r>
        <w:t xml:space="preserve"> </w:t>
      </w:r>
      <w:r>
        <w:rPr>
          <w:b/>
          <w:bCs/>
        </w:rPr>
        <w:t xml:space="preserve">one additional ESA during 2026</w:t>
      </w:r>
    </w:p>
    <w:p>
      <w:pPr>
        <w:pStyle w:val="FirstParagraph"/>
      </w:pPr>
      <w:r>
        <w:t xml:space="preserve">That story is increasingly reflected in the stock. EVRG closed around</w:t>
      </w:r>
      <w:r>
        <w:t xml:space="preserve"> </w:t>
      </w:r>
      <w:r>
        <w:rPr>
          <w:b/>
          <w:bCs/>
        </w:rPr>
        <w:t xml:space="preserve">$83.06</w:t>
      </w:r>
      <w:r>
        <w:t xml:space="preserve"> </w:t>
      </w:r>
      <w:r>
        <w:t xml:space="preserve">ahead of the release and has materially outperformed the utilities sector year to date. At that price, the shares trade at roughly</w:t>
      </w:r>
      <w:r>
        <w:t xml:space="preserve"> </w:t>
      </w:r>
      <w:r>
        <w:rPr>
          <w:b/>
          <w:bCs/>
        </w:rPr>
        <w:t xml:space="preserve">19.6 times</w:t>
      </w:r>
      <w:r>
        <w:t xml:space="preserve"> </w:t>
      </w:r>
      <w:r>
        <w:t xml:space="preserve">the $4.24 midpoint of 2026 guidance and yield approximately</w:t>
      </w:r>
      <w:r>
        <w:t xml:space="preserve"> </w:t>
      </w:r>
      <w:r>
        <w:rPr>
          <w:b/>
          <w:bCs/>
        </w:rPr>
        <w:t xml:space="preserve">3.3%</w:t>
      </w:r>
      <w:r>
        <w:t xml:space="preserve"> </w:t>
      </w:r>
      <w:r>
        <w:t xml:space="preserve">using the latest $0.695 quarterly dividend. Expectations are therefore high enough that a routine EPS beat may not be sufficient without continued progress on load growth and financing.</w:t>
      </w:r>
    </w:p>
    <w:bookmarkEnd w:id="10"/>
    <w:bookmarkStart w:id="12" w:name="headline-expectations"/>
    <w:p>
      <w:pPr>
        <w:pStyle w:val="Heading2"/>
      </w:pPr>
      <w:r>
        <w:t xml:space="preserve">Headline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adjusted EPS guidance implied by management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0.72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Visible analyst EPS estimate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$0.81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$0.82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adjusted 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4.14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guidance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2027 visible consensus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$4.55</w:t>
            </w:r>
          </w:p>
        </w:tc>
      </w:tr>
    </w:tbl>
    <w:p>
      <w:pPr>
        <w:pStyle w:val="BodyText"/>
      </w:pPr>
      <w:r>
        <w:t xml:space="preserve">Management guided Q2 adjusted EPS to</w:t>
      </w:r>
      <w:r>
        <w:t xml:space="preserve"> </w:t>
      </w:r>
      <w:r>
        <w:rPr>
          <w:b/>
          <w:bCs/>
        </w:rPr>
        <w:t xml:space="preserve">17%–19% of the $4.24 full-year midpoint</w:t>
      </w:r>
      <w:r>
        <w:t xml:space="preserve">, mathematically implying approximately</w:t>
      </w:r>
      <w:r>
        <w:t xml:space="preserve"> </w:t>
      </w:r>
      <m:oMath>
        <m:r>
          <m:t>0.72</m:t>
        </m:r>
        <m:r>
          <m:rPr>
            <m:sty m:val="p"/>
          </m:rPr>
          <m:t>–</m:t>
        </m:r>
      </m:oMath>
      <w:r>
        <w:t xml:space="preserve">0.81. Barchart’s estimate table also shows an average Q2 estimate of $0.81, along with $4.25 for 2026 and $4.55 for 2027. (</w:t>
      </w:r>
      <w:hyperlink r:id="rId11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The more important benchmark is likely to be</w:t>
      </w:r>
      <w:r>
        <w:t xml:space="preserve"> </w:t>
      </w:r>
      <w:r>
        <w:rPr>
          <w:b/>
          <w:bCs/>
        </w:rPr>
        <w:t xml:space="preserve">full-year guidance</w:t>
      </w:r>
      <w:r>
        <w:t xml:space="preserve">. Evergy earned $0.69 in Q1; a $0.81 Q2 result would put first-half adjusted EPS at $1.50 and leave approximately $2.74 necessary in the second half to reach the $4.24 midpoint. That is achievable given Evergy’s seasonal earnings profile, but it leaves execution and summer weather important.</w:t>
      </w:r>
    </w:p>
    <w:bookmarkEnd w:id="12"/>
    <w:bookmarkStart w:id="20" w:name="what-to-watch"/>
    <w:p>
      <w:pPr>
        <w:pStyle w:val="Heading2"/>
      </w:pPr>
      <w:r>
        <w:t xml:space="preserve">What to watch</w:t>
      </w:r>
    </w:p>
    <w:bookmarkStart w:id="14" w:name="Xcad0399098f76a49ae1c29784ce04dc9d651bee"/>
    <w:p>
      <w:pPr>
        <w:pStyle w:val="Heading3"/>
      </w:pPr>
      <w:r>
        <w:t xml:space="preserve">1. Weather and underlying demand</w:t>
      </w:r>
    </w:p>
    <w:p>
      <w:pPr>
        <w:pStyle w:val="FirstParagraph"/>
      </w:pPr>
      <w:r>
        <w:t xml:space="preserve">Weather was a major drag in Q2 2025: adjusted EPS of $0.82 included approximately $0.09 of unfavorable weather versus internal budget and a $0.15 year-over-year weather headwind.</w:t>
      </w:r>
    </w:p>
    <w:p>
      <w:pPr>
        <w:pStyle w:val="BodyText"/>
      </w:pPr>
      <w:r>
        <w:t xml:space="preserve">This quarter’s weather setup appears more constructive. Kansas City International Airport—an imperfect but useful service-territory proxy—recorded: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106 cooling-degree days in May 2026</w:t>
      </w:r>
      <w:r>
        <w:t xml:space="preserve">, versus 45 in May 2025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294 cooling-degree days in June 2026</w:t>
      </w:r>
      <w:r>
        <w:t xml:space="preserve">, equal to June 2025 and modestly above normal</w:t>
      </w:r>
    </w:p>
    <w:p>
      <w:pPr>
        <w:pStyle w:val="FirstParagraph"/>
      </w:pPr>
      <w:r>
        <w:t xml:space="preserve">That suggests less year-over-year weather pressure, particularly in May, although Evergy’s actual weather sensitivity spans a broader Kansas and Missouri footprint. (</w:t>
      </w:r>
      <w:hyperlink r:id="rId13">
        <w:r>
          <w:rPr>
            <w:rStyle w:val="Hyperlink"/>
          </w:rPr>
          <w:t xml:space="preserve">forecast.weather.gov</w:t>
        </w:r>
      </w:hyperlink>
      <w:r>
        <w:t xml:space="preserve">)</w:t>
      </w:r>
    </w:p>
    <w:p>
      <w:pPr>
        <w:pStyle w:val="BodyText"/>
      </w:pPr>
      <w:r>
        <w:t xml:space="preserve">Investors should separate weather from the underlying load trend. Q1 weather-normalized retail demand increased</w:t>
      </w:r>
      <w:r>
        <w:t xml:space="preserve"> </w:t>
      </w:r>
      <w:r>
        <w:rPr>
          <w:b/>
          <w:bCs/>
        </w:rPr>
        <w:t xml:space="preserve">4.7%</w:t>
      </w:r>
      <w:r>
        <w:t xml:space="preserve">, including:</w:t>
      </w:r>
    </w:p>
    <w:p>
      <w:pPr>
        <w:pStyle w:val="Compact"/>
        <w:numPr>
          <w:ilvl w:val="0"/>
          <w:numId w:val="1003"/>
        </w:numPr>
      </w:pPr>
      <w:r>
        <w:t xml:space="preserve">Residential:</w:t>
      </w:r>
      <w:r>
        <w:t xml:space="preserve"> </w:t>
      </w:r>
      <w:r>
        <w:rPr>
          <w:b/>
          <w:bCs/>
        </w:rPr>
        <w:t xml:space="preserve">+3.3%</w:t>
      </w:r>
    </w:p>
    <w:p>
      <w:pPr>
        <w:pStyle w:val="Compact"/>
        <w:numPr>
          <w:ilvl w:val="0"/>
          <w:numId w:val="1003"/>
        </w:numPr>
      </w:pPr>
      <w:r>
        <w:t xml:space="preserve">Commercial:</w:t>
      </w:r>
      <w:r>
        <w:t xml:space="preserve"> </w:t>
      </w:r>
      <w:r>
        <w:rPr>
          <w:b/>
          <w:bCs/>
        </w:rPr>
        <w:t xml:space="preserve">+3.8%</w:t>
      </w:r>
    </w:p>
    <w:p>
      <w:pPr>
        <w:pStyle w:val="Compact"/>
        <w:numPr>
          <w:ilvl w:val="0"/>
          <w:numId w:val="1003"/>
        </w:numPr>
      </w:pPr>
      <w:r>
        <w:t xml:space="preserve">Industrial:</w:t>
      </w:r>
      <w:r>
        <w:t xml:space="preserve"> </w:t>
      </w:r>
      <w:r>
        <w:rPr>
          <w:b/>
          <w:bCs/>
        </w:rPr>
        <w:t xml:space="preserve">+10.1%</w:t>
      </w:r>
    </w:p>
    <w:p>
      <w:pPr>
        <w:pStyle w:val="FirstParagraph"/>
      </w:pPr>
      <w:r>
        <w:t xml:space="preserve">The key question is whether Q2 weather-normalized demand remained strong enough to support the company’s</w:t>
      </w:r>
      <w:r>
        <w:t xml:space="preserve"> </w:t>
      </w:r>
      <w:r>
        <w:rPr>
          <w:b/>
          <w:bCs/>
        </w:rPr>
        <w:t xml:space="preserve">3%–4% full-year 2026 load-growth expectation</w:t>
      </w:r>
      <w:r>
        <w:t xml:space="preserve">. Particular attention should go to the continuing Panasonic ramp and the data center that began operations in March, ahead of schedule.</w:t>
      </w:r>
    </w:p>
    <w:bookmarkEnd w:id="14"/>
    <w:bookmarkStart w:id="15" w:name="X7dbbfea01482dbf950421639c849b59acd41aa8"/>
    <w:p>
      <w:pPr>
        <w:pStyle w:val="Heading3"/>
      </w:pPr>
      <w:r>
        <w:t xml:space="preserve">2. Another large-customer announcement</w:t>
      </w:r>
    </w:p>
    <w:p>
      <w:pPr>
        <w:pStyle w:val="FirstParagraph"/>
      </w:pPr>
      <w:r>
        <w:t xml:space="preserve">The most market-moving upside would likely be a</w:t>
      </w:r>
      <w:r>
        <w:t xml:space="preserve"> </w:t>
      </w:r>
      <w:r>
        <w:rPr>
          <w:b/>
          <w:bCs/>
        </w:rPr>
        <w:t xml:space="preserve">sixth ESA</w:t>
      </w:r>
      <w:r>
        <w:t xml:space="preserve"> </w:t>
      </w:r>
      <w:r>
        <w:t xml:space="preserve">or a more concrete indication that one is close.</w:t>
      </w:r>
    </w:p>
    <w:p>
      <w:pPr>
        <w:pStyle w:val="BodyText"/>
      </w:pPr>
      <w:r>
        <w:t xml:space="preserve">At the Q1 call, Evergy said its five signed data-center ESAs represented approximately</w:t>
      </w:r>
      <w:r>
        <w:t xml:space="preserve"> </w:t>
      </w:r>
      <w:r>
        <w:rPr>
          <w:b/>
          <w:bCs/>
        </w:rPr>
        <w:t xml:space="preserve">2.5 GW</w:t>
      </w:r>
      <w:r>
        <w:t xml:space="preserve"> </w:t>
      </w:r>
      <w:r>
        <w:t xml:space="preserve">of steady-state peak load. Including roughly 450 MW from Panasonic and other non-LLPS customers, total large-customer demand reached approximately</w:t>
      </w:r>
      <w:r>
        <w:t xml:space="preserve"> </w:t>
      </w:r>
      <w:r>
        <w:rPr>
          <w:b/>
          <w:bCs/>
        </w:rPr>
        <w:t xml:space="preserve">3 GW</w:t>
      </w:r>
      <w:r>
        <w:t xml:space="preserve">. Management also identified: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1–1.5 GW</w:t>
      </w:r>
      <w:r>
        <w:t xml:space="preserve"> </w:t>
      </w:r>
      <w:r>
        <w:t xml:space="preserve">of expansion opportunities at existing ESA customers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1.5–3 GW</w:t>
      </w:r>
      <w:r>
        <w:t xml:space="preserve"> </w:t>
      </w:r>
      <w:r>
        <w:t xml:space="preserve">of advanced Tier 2 prospects</w:t>
      </w:r>
    </w:p>
    <w:p>
      <w:pPr>
        <w:pStyle w:val="Compact"/>
        <w:numPr>
          <w:ilvl w:val="0"/>
          <w:numId w:val="1004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10 GW</w:t>
      </w:r>
      <w:r>
        <w:t xml:space="preserve"> </w:t>
      </w:r>
      <w:r>
        <w:t xml:space="preserve">elsewhere in the pipeline</w:t>
      </w:r>
    </w:p>
    <w:p>
      <w:pPr>
        <w:pStyle w:val="FirstParagraph"/>
      </w:pPr>
      <w:r>
        <w:t xml:space="preserve">Existing ESA load ramps are backed by minimum-bill provisions and generally long contract terms, which distinguishes contracted demand from a speculative interconnection queue. Still, investors should listen for changes in customer construction schedules, energization dates, collateral requirements and expected peak-load ramps.</w:t>
      </w:r>
    </w:p>
    <w:p>
      <w:pPr>
        <w:pStyle w:val="BodyText"/>
      </w:pPr>
      <w:r>
        <w:rPr>
          <w:b/>
          <w:bCs/>
        </w:rPr>
        <w:t xml:space="preserve">Bullish:</w:t>
      </w:r>
      <w:r>
        <w:t xml:space="preserve"> </w:t>
      </w:r>
      <w:r>
        <w:t xml:space="preserve">A sixth ESA, increased capacity under an existing agreement or faster near-term energization.</w:t>
      </w:r>
    </w:p>
    <w:p>
      <w:pPr>
        <w:pStyle w:val="BodyText"/>
      </w:pPr>
      <w:r>
        <w:rPr>
          <w:b/>
          <w:bCs/>
        </w:rPr>
        <w:t xml:space="preserve">Neutral:</w:t>
      </w:r>
      <w:r>
        <w:t xml:space="preserve"> </w:t>
      </w:r>
      <w:r>
        <w:t xml:space="preserve">Reaffirmation that another agreement remains likely in 2026.</w:t>
      </w:r>
    </w:p>
    <w:p>
      <w:pPr>
        <w:pStyle w:val="BodyText"/>
      </w:pPr>
      <w:r>
        <w:rPr>
          <w:b/>
          <w:bCs/>
        </w:rPr>
        <w:t xml:space="preserve">Bearish:</w:t>
      </w:r>
      <w:r>
        <w:t xml:space="preserve"> </w:t>
      </w:r>
      <w:r>
        <w:t xml:space="preserve">Customer delays, reduced load ramps or softer language around the 2026 signing target.</w:t>
      </w:r>
    </w:p>
    <w:bookmarkEnd w:id="15"/>
    <w:bookmarkStart w:id="16" w:name="X5aa8d65412cdf11b75366207f238f4bf7011dcf"/>
    <w:p>
      <w:pPr>
        <w:pStyle w:val="Heading3"/>
      </w:pPr>
      <w:r>
        <w:t xml:space="preserve">3. Capital-plan upside—and how it will be financed</w:t>
      </w:r>
    </w:p>
    <w:p>
      <w:pPr>
        <w:pStyle w:val="FirstParagraph"/>
      </w:pPr>
      <w:r>
        <w:t xml:space="preserve">Evergy’s growth requires substantial generation, transmission and distribution investment. Management’s current plan calls for</w:t>
      </w:r>
      <w:r>
        <w:t xml:space="preserve"> </w:t>
      </w:r>
      <w:r>
        <w:rPr>
          <w:b/>
          <w:bCs/>
        </w:rPr>
        <w:t xml:space="preserve">$21.6 billion of capital spending</w:t>
      </w:r>
      <w:r>
        <w:t xml:space="preserve">, supporting roughly</w:t>
      </w:r>
      <w:r>
        <w:t xml:space="preserve"> </w:t>
      </w:r>
      <w:r>
        <w:rPr>
          <w:b/>
          <w:bCs/>
        </w:rPr>
        <w:t xml:space="preserve">12% rate-base growth</w:t>
      </w:r>
      <w:r>
        <w:t xml:space="preserve">. The May load updates and integrated resource plans were expected to add modest upside to the capital plan.</w:t>
      </w:r>
    </w:p>
    <w:p>
      <w:pPr>
        <w:pStyle w:val="BodyText"/>
      </w:pPr>
      <w:r>
        <w:t xml:space="preserve">Incremental capital is attractive only if the associated customer contracts, regulatory recovery and financing preserve per-share value. The major questions are:</w:t>
      </w:r>
    </w:p>
    <w:p>
      <w:pPr>
        <w:pStyle w:val="Compact"/>
        <w:numPr>
          <w:ilvl w:val="0"/>
          <w:numId w:val="1005"/>
        </w:numPr>
      </w:pPr>
      <w:r>
        <w:t xml:space="preserve">How much additional capital is required for the five signed ESAs?</w:t>
      </w:r>
    </w:p>
    <w:p>
      <w:pPr>
        <w:pStyle w:val="Compact"/>
        <w:numPr>
          <w:ilvl w:val="0"/>
          <w:numId w:val="1005"/>
        </w:numPr>
      </w:pPr>
      <w:r>
        <w:t xml:space="preserve">Will the 2026 integrated resource plans change the generation mix or timing?</w:t>
      </w:r>
    </w:p>
    <w:p>
      <w:pPr>
        <w:pStyle w:val="Compact"/>
        <w:numPr>
          <w:ilvl w:val="0"/>
          <w:numId w:val="1005"/>
        </w:numPr>
      </w:pPr>
      <w:r>
        <w:t xml:space="preserve">Is approximately 12% still the right rate-base-growth assumption?</w:t>
      </w:r>
    </w:p>
    <w:p>
      <w:pPr>
        <w:pStyle w:val="Compact"/>
        <w:numPr>
          <w:ilvl w:val="0"/>
          <w:numId w:val="1005"/>
        </w:numPr>
      </w:pPr>
      <w:r>
        <w:t xml:space="preserve">Does additional capex require equity beyond the existing plan?</w:t>
      </w:r>
    </w:p>
    <w:p>
      <w:pPr>
        <w:pStyle w:val="FirstParagraph"/>
      </w:pPr>
      <w:r>
        <w:t xml:space="preserve">Evergy previously outlined</w:t>
      </w:r>
      <w:r>
        <w:t xml:space="preserve"> </w:t>
      </w:r>
      <m:oMath>
        <m:r>
          <m:t>700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900 million of annual equity issuance from 2026 through 2029</w:t>
      </w:r>
      <w:r>
        <w:t xml:space="preserve">, or approximately $3.3 billion in aggregate. Management said remaining 2026 needs could be handled through its at-the-market program rather than a block issuance.</w:t>
      </w:r>
    </w:p>
    <w:p>
      <w:pPr>
        <w:pStyle w:val="BodyText"/>
      </w:pPr>
      <w:r>
        <w:t xml:space="preserve">Investors should therefore distinguish between: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Productive capital-plan growth</w:t>
      </w:r>
      <w:r>
        <w:t xml:space="preserve">, supported by signed minimum-bill contracts; and</w:t>
      </w:r>
    </w:p>
    <w:p>
      <w:pPr>
        <w:pStyle w:val="Compact"/>
        <w:numPr>
          <w:ilvl w:val="0"/>
          <w:numId w:val="1006"/>
        </w:numPr>
      </w:pPr>
      <w:r>
        <w:t xml:space="preserve">A higher financing burden that increases dilution or pushes credit metrics below plan.</w:t>
      </w:r>
    </w:p>
    <w:p>
      <w:pPr>
        <w:pStyle w:val="FirstParagraph"/>
      </w:pPr>
      <w:r>
        <w:t xml:space="preserve">The company’s targeted</w:t>
      </w:r>
      <w:r>
        <w:t xml:space="preserve"> </w:t>
      </w:r>
      <w:r>
        <w:rPr>
          <w:b/>
          <w:bCs/>
        </w:rPr>
        <w:t xml:space="preserve">14%–15% FFO-to-debt ratio for 2026–2028</w:t>
      </w:r>
      <w:r>
        <w:t xml:space="preserve"> </w:t>
      </w:r>
      <w:r>
        <w:t xml:space="preserve">is an important guardrail.</w:t>
      </w:r>
    </w:p>
    <w:bookmarkEnd w:id="16"/>
    <w:bookmarkStart w:id="17" w:name="Xb8e6945cc588e62c56bfb5bbd968df58a136f36"/>
    <w:p>
      <w:pPr>
        <w:pStyle w:val="Heading3"/>
      </w:pPr>
      <w:r>
        <w:t xml:space="preserve">4. Cost growth versus regulated-margin growth</w:t>
      </w:r>
    </w:p>
    <w:p>
      <w:pPr>
        <w:pStyle w:val="FirstParagraph"/>
      </w:pPr>
      <w:r>
        <w:t xml:space="preserve">Q1 illustrated the core earnings trade-off:</w:t>
      </w:r>
    </w:p>
    <w:p>
      <w:pPr>
        <w:pStyle w:val="BodyText"/>
      </w:pPr>
      <w:r>
        <w:rPr>
          <w:b/>
          <w:bCs/>
        </w:rPr>
        <w:t xml:space="preserve">Positive drivers</w:t>
      </w:r>
    </w:p>
    <w:p>
      <w:pPr>
        <w:pStyle w:val="Compact"/>
        <w:numPr>
          <w:ilvl w:val="0"/>
          <w:numId w:val="1007"/>
        </w:numPr>
      </w:pPr>
      <w:r>
        <w:t xml:space="preserve">New Kansas Central retail rates</w:t>
      </w:r>
    </w:p>
    <w:p>
      <w:pPr>
        <w:pStyle w:val="Compact"/>
        <w:numPr>
          <w:ilvl w:val="0"/>
          <w:numId w:val="1007"/>
        </w:numPr>
      </w:pPr>
      <w:r>
        <w:t xml:space="preserve">Return on regulated investment</w:t>
      </w:r>
    </w:p>
    <w:p>
      <w:pPr>
        <w:pStyle w:val="Compact"/>
        <w:numPr>
          <w:ilvl w:val="0"/>
          <w:numId w:val="1007"/>
        </w:numPr>
      </w:pPr>
      <w:r>
        <w:t xml:space="preserve">Weather-normalized load growth</w:t>
      </w:r>
    </w:p>
    <w:p>
      <w:pPr>
        <w:pStyle w:val="Compact"/>
        <w:numPr>
          <w:ilvl w:val="0"/>
          <w:numId w:val="1007"/>
        </w:numPr>
      </w:pPr>
      <w:r>
        <w:t xml:space="preserve">Large-customer revenues</w:t>
      </w:r>
    </w:p>
    <w:p>
      <w:pPr>
        <w:pStyle w:val="Compact"/>
        <w:numPr>
          <w:ilvl w:val="0"/>
          <w:numId w:val="1007"/>
        </w:numPr>
      </w:pPr>
      <w:r>
        <w:t xml:space="preserve">Power-marketing and other revenues</w:t>
      </w:r>
    </w:p>
    <w:p>
      <w:pPr>
        <w:pStyle w:val="FirstParagraph"/>
      </w:pPr>
      <w:r>
        <w:rPr>
          <w:b/>
          <w:bCs/>
        </w:rPr>
        <w:t xml:space="preserve">Offsets</w:t>
      </w:r>
    </w:p>
    <w:p>
      <w:pPr>
        <w:pStyle w:val="Compact"/>
        <w:numPr>
          <w:ilvl w:val="0"/>
          <w:numId w:val="1008"/>
        </w:numPr>
      </w:pPr>
      <w:r>
        <w:t xml:space="preserve">Higher O&amp;M</w:t>
      </w:r>
    </w:p>
    <w:p>
      <w:pPr>
        <w:pStyle w:val="Compact"/>
        <w:numPr>
          <w:ilvl w:val="0"/>
          <w:numId w:val="1008"/>
        </w:numPr>
      </w:pPr>
      <w:r>
        <w:t xml:space="preserve">Higher depreciation</w:t>
      </w:r>
    </w:p>
    <w:p>
      <w:pPr>
        <w:pStyle w:val="Compact"/>
        <w:numPr>
          <w:ilvl w:val="0"/>
          <w:numId w:val="1008"/>
        </w:numPr>
      </w:pPr>
      <w:r>
        <w:t xml:space="preserve">Higher interest expense</w:t>
      </w:r>
    </w:p>
    <w:p>
      <w:pPr>
        <w:pStyle w:val="Compact"/>
        <w:numPr>
          <w:ilvl w:val="0"/>
          <w:numId w:val="1008"/>
        </w:numPr>
      </w:pPr>
      <w:r>
        <w:t xml:space="preserve">Equity issuance</w:t>
      </w:r>
    </w:p>
    <w:p>
      <w:pPr>
        <w:pStyle w:val="FirstParagraph"/>
      </w:pPr>
      <w:r>
        <w:t xml:space="preserve">Evergy’s first-quarter depreciation increased with capital additions, while interest expense rose significantly due primarily to new debt. In July, Kansas Central issued another</w:t>
      </w:r>
      <w:r>
        <w:t xml:space="preserve"> </w:t>
      </w:r>
      <w:r>
        <w:rPr>
          <w:b/>
          <w:bCs/>
        </w:rPr>
        <w:t xml:space="preserve">$350 million of 5.3% mortgage bonds</w:t>
      </w:r>
      <w:r>
        <w:t xml:space="preserve">.</w:t>
      </w:r>
    </w:p>
    <w:p>
      <w:pPr>
        <w:pStyle w:val="BodyText"/>
      </w:pPr>
      <w:r>
        <w:t xml:space="preserve">For Q2, the ideal result would show regulated-margin and load growth comfortably outpacing O&amp;M, depreciation, interest and share-count growth. A beat driven mainly by weather or nonrecurring items would be lower quality.</w:t>
      </w:r>
    </w:p>
    <w:bookmarkEnd w:id="17"/>
    <w:bookmarkStart w:id="19" w:name="X3f602355864778af9ab5f7f6d6c2ddf78ac2293"/>
    <w:p>
      <w:pPr>
        <w:pStyle w:val="Heading3"/>
      </w:pPr>
      <w:r>
        <w:t xml:space="preserve">5. Missouri regulatory progress</w:t>
      </w:r>
    </w:p>
    <w:p>
      <w:pPr>
        <w:pStyle w:val="FirstParagraph"/>
      </w:pPr>
      <w:r>
        <w:t xml:space="preserve">Evergy Metro is seeking an approximately</w:t>
      </w:r>
      <w:r>
        <w:t xml:space="preserve"> </w:t>
      </w:r>
      <m:oMath>
        <m:r>
          <m:t>138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140 million revenue increase</w:t>
      </w:r>
      <w:r>
        <w:t xml:space="preserve">, based on: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10.5% requested ROE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52% equity capitalization</w:t>
      </w:r>
    </w:p>
    <w:p>
      <w:pPr>
        <w:pStyle w:val="Compact"/>
        <w:numPr>
          <w:ilvl w:val="0"/>
          <w:numId w:val="1009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$3.9 billion of rate base</w:t>
      </w:r>
    </w:p>
    <w:p>
      <w:pPr>
        <w:pStyle w:val="Compact"/>
        <w:numPr>
          <w:ilvl w:val="0"/>
          <w:numId w:val="1009"/>
        </w:numPr>
      </w:pPr>
      <w:r>
        <w:t xml:space="preserve">New rates expected around January 2027</w:t>
      </w:r>
    </w:p>
    <w:p>
      <w:pPr>
        <w:pStyle w:val="FirstParagraph"/>
      </w:pPr>
      <w:r>
        <w:t xml:space="preserve">Staff and intervenor testimony was filed on June 30, and the procedural calendar has evidentiary hearings beginning in late September. (</w:t>
      </w:r>
      <w:hyperlink r:id="rId18">
        <w:r>
          <w:rPr>
            <w:rStyle w:val="Hyperlink"/>
          </w:rPr>
          <w:t xml:space="preserve">efis.psc.mo.gov</w:t>
        </w:r>
      </w:hyperlink>
      <w:r>
        <w:t xml:space="preserve">)</w:t>
      </w:r>
    </w:p>
    <w:p>
      <w:pPr>
        <w:pStyle w:val="BodyText"/>
      </w:pPr>
      <w:r>
        <w:t xml:space="preserve">The earnings call may provide management’s first public assessment of the filed testimony. Investors should focus on whether Evergy still sees a credible path to settlement and whether disputed issues threaten the requested revenue increase, capital structure or recovery of recent investment.</w:t>
      </w:r>
    </w:p>
    <w:bookmarkEnd w:id="19"/>
    <w:bookmarkEnd w:id="20"/>
    <w:bookmarkStart w:id="23" w:name="earnings-scorecard"/>
    <w:p>
      <w:pPr>
        <w:pStyle w:val="Heading2"/>
      </w:pPr>
      <w:r>
        <w:t xml:space="preserve">Earnings scorecard</w:t>
      </w:r>
    </w:p>
    <w:bookmarkStart w:id="21" w:name="a-strong-report-would-include"/>
    <w:p>
      <w:pPr>
        <w:pStyle w:val="Heading3"/>
      </w:pPr>
      <w:r>
        <w:t xml:space="preserve">A strong report would include</w:t>
      </w:r>
    </w:p>
    <w:p>
      <w:pPr>
        <w:pStyle w:val="Compact"/>
        <w:numPr>
          <w:ilvl w:val="0"/>
          <w:numId w:val="1010"/>
        </w:numPr>
      </w:pPr>
      <w:r>
        <w:t xml:space="preserve">Adjusted EPS near or above</w:t>
      </w:r>
      <w:r>
        <w:t xml:space="preserve"> </w:t>
      </w:r>
      <w:r>
        <w:rPr>
          <w:b/>
          <w:bCs/>
        </w:rPr>
        <w:t xml:space="preserve">$0.81</w:t>
      </w:r>
    </w:p>
    <w:p>
      <w:pPr>
        <w:pStyle w:val="Compact"/>
        <w:numPr>
          <w:ilvl w:val="0"/>
          <w:numId w:val="1010"/>
        </w:numPr>
      </w:pPr>
      <w:r>
        <w:t xml:space="preserve">Reaffirmed</w:t>
      </w:r>
      <w:r>
        <w:t xml:space="preserve"> </w:t>
      </w:r>
      <m:oMath>
        <m:r>
          <m:t>4.14</m:t>
        </m:r>
        <m:r>
          <m:rPr>
            <m:sty m:val="p"/>
          </m:rPr>
          <m:t>–</m:t>
        </m:r>
      </m:oMath>
      <w:r>
        <w:t xml:space="preserve">4.34 full-year guidance, with confidence around the midpoint</w:t>
      </w:r>
    </w:p>
    <w:p>
      <w:pPr>
        <w:pStyle w:val="Compact"/>
        <w:numPr>
          <w:ilvl w:val="0"/>
          <w:numId w:val="1010"/>
        </w:numPr>
      </w:pPr>
      <w:r>
        <w:t xml:space="preserve">Weather-normalized demand consistent with full-year expectations</w:t>
      </w:r>
    </w:p>
    <w:p>
      <w:pPr>
        <w:pStyle w:val="Compact"/>
        <w:numPr>
          <w:ilvl w:val="0"/>
          <w:numId w:val="1010"/>
        </w:numPr>
      </w:pPr>
      <w:r>
        <w:t xml:space="preserve">Continued strong Panasonic and data-center ramps</w:t>
      </w:r>
    </w:p>
    <w:p>
      <w:pPr>
        <w:pStyle w:val="Compact"/>
        <w:numPr>
          <w:ilvl w:val="0"/>
          <w:numId w:val="1010"/>
        </w:numPr>
      </w:pPr>
      <w:r>
        <w:t xml:space="preserve">A sixth ESA or clear progress toward one</w:t>
      </w:r>
    </w:p>
    <w:p>
      <w:pPr>
        <w:pStyle w:val="Compact"/>
        <w:numPr>
          <w:ilvl w:val="0"/>
          <w:numId w:val="1010"/>
        </w:numPr>
      </w:pPr>
      <w:r>
        <w:t xml:space="preserve">No increase in planned equity needs</w:t>
      </w:r>
    </w:p>
    <w:p>
      <w:pPr>
        <w:pStyle w:val="Compact"/>
        <w:numPr>
          <w:ilvl w:val="0"/>
          <w:numId w:val="1010"/>
        </w:numPr>
      </w:pPr>
      <w:r>
        <w:t xml:space="preserve">FFO-to-debt outlook maintained at 14%–15%</w:t>
      </w:r>
    </w:p>
    <w:p>
      <w:pPr>
        <w:pStyle w:val="Compact"/>
        <w:numPr>
          <w:ilvl w:val="0"/>
          <w:numId w:val="1010"/>
        </w:numPr>
      </w:pPr>
      <w:r>
        <w:t xml:space="preserve">Constructive commentary on the Missouri Metro rate case</w:t>
      </w:r>
    </w:p>
    <w:p>
      <w:pPr>
        <w:pStyle w:val="Compact"/>
        <w:numPr>
          <w:ilvl w:val="0"/>
          <w:numId w:val="1010"/>
        </w:numPr>
      </w:pPr>
      <w:r>
        <w:t xml:space="preserve">More detail showing that incremental capital earns attractive regulated returns</w:t>
      </w:r>
    </w:p>
    <w:bookmarkEnd w:id="21"/>
    <w:bookmarkStart w:id="22" w:name="a-disappointing-report-would-include"/>
    <w:p>
      <w:pPr>
        <w:pStyle w:val="Heading3"/>
      </w:pPr>
      <w:r>
        <w:t xml:space="preserve">A disappointing report would include</w:t>
      </w:r>
    </w:p>
    <w:p>
      <w:pPr>
        <w:pStyle w:val="Compact"/>
        <w:numPr>
          <w:ilvl w:val="0"/>
          <w:numId w:val="1011"/>
        </w:numPr>
      </w:pPr>
      <w:r>
        <w:t xml:space="preserve">EPS below the implied</w:t>
      </w:r>
      <w:r>
        <w:t xml:space="preserve"> </w:t>
      </w:r>
      <m:oMath>
        <m:r>
          <m:t>0.72</m:t>
        </m:r>
        <m:r>
          <m:rPr>
            <m:sty m:val="p"/>
          </m:rPr>
          <m:t>–</m:t>
        </m:r>
      </m:oMath>
      <w:r>
        <w:t xml:space="preserve">0.81 range</w:t>
      </w:r>
    </w:p>
    <w:p>
      <w:pPr>
        <w:pStyle w:val="Compact"/>
        <w:numPr>
          <w:ilvl w:val="0"/>
          <w:numId w:val="1011"/>
        </w:numPr>
      </w:pPr>
      <w:r>
        <w:t xml:space="preserve">Full-year guidance maintained only because of favorable weather</w:t>
      </w:r>
    </w:p>
    <w:p>
      <w:pPr>
        <w:pStyle w:val="Compact"/>
        <w:numPr>
          <w:ilvl w:val="0"/>
          <w:numId w:val="1011"/>
        </w:numPr>
      </w:pPr>
      <w:r>
        <w:t xml:space="preserve">Slower customer ramps or reduced load expectations</w:t>
      </w:r>
    </w:p>
    <w:p>
      <w:pPr>
        <w:pStyle w:val="Compact"/>
        <w:numPr>
          <w:ilvl w:val="0"/>
          <w:numId w:val="1011"/>
        </w:numPr>
      </w:pPr>
      <w:r>
        <w:t xml:space="preserve">No progress toward another 2026 ESA</w:t>
      </w:r>
    </w:p>
    <w:p>
      <w:pPr>
        <w:pStyle w:val="Compact"/>
        <w:numPr>
          <w:ilvl w:val="0"/>
          <w:numId w:val="1011"/>
        </w:numPr>
      </w:pPr>
      <w:r>
        <w:t xml:space="preserve">Higher O&amp;M or financing costs without offsetting margin growth</w:t>
      </w:r>
    </w:p>
    <w:p>
      <w:pPr>
        <w:pStyle w:val="Compact"/>
        <w:numPr>
          <w:ilvl w:val="0"/>
          <w:numId w:val="1011"/>
        </w:numPr>
      </w:pPr>
      <w:r>
        <w:t xml:space="preserve">Incremental equity beyond the current $3.3 billion plan</w:t>
      </w:r>
    </w:p>
    <w:p>
      <w:pPr>
        <w:pStyle w:val="Compact"/>
        <w:numPr>
          <w:ilvl w:val="0"/>
          <w:numId w:val="1011"/>
        </w:numPr>
      </w:pPr>
      <w:r>
        <w:t xml:space="preserve">Material regulatory pushback in Missouri</w:t>
      </w:r>
    </w:p>
    <w:p>
      <w:pPr>
        <w:pStyle w:val="Compact"/>
        <w:numPr>
          <w:ilvl w:val="0"/>
          <w:numId w:val="1011"/>
        </w:numPr>
      </w:pPr>
      <w:r>
        <w:t xml:space="preserve">Capital-plan increases without corresponding EPS or credit improvement</w:t>
      </w:r>
    </w:p>
    <w:bookmarkEnd w:id="22"/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Evergy’s Q2 result should be judged less on a few cents of quarterly EPS and more on whether management can reinforce the bridge from</w:t>
      </w:r>
      <w:r>
        <w:t xml:space="preserve"> </w:t>
      </w:r>
      <w:r>
        <w:rPr>
          <w:b/>
          <w:bCs/>
        </w:rPr>
        <w:t xml:space="preserve">signed large-load contracts to sustained per-share earnings growth</w:t>
      </w:r>
      <w:r>
        <w:t xml:space="preserve">.</w:t>
      </w:r>
    </w:p>
    <w:p>
      <w:pPr>
        <w:pStyle w:val="BodyText"/>
      </w:pPr>
      <w:r>
        <w:t xml:space="preserve">The cleanest positive outcome would be adjusted EPS around the top of management’s implied range, reaffirmed full-year guidance, strong weather-normalized demand and tangible progress on a sixth ESA—without higher equity requirements. Conversely, any weakening in customer ramps, credit metrics or financing assumptions would matter more than a modest quarterly earnings miss.</w:t>
      </w:r>
    </w:p>
    <w:p>
      <w:pPr>
        <w:pStyle w:val="BodyText"/>
      </w:pPr>
      <w:r>
        <w:t xml:space="preserve">With the shares already pricing in a meaningful portion of Evergy’s improved growth outlook, the burden is increasingly on management to demonstrate that the data-center opportunity can produce</w:t>
      </w:r>
      <w:r>
        <w:t xml:space="preserve"> </w:t>
      </w:r>
      <w:r>
        <w:rPr>
          <w:b/>
          <w:bCs/>
        </w:rPr>
        <w:t xml:space="preserve">durable EPS growth and customer affordability</w:t>
      </w:r>
      <w:r>
        <w:t xml:space="preserve">, not simply a larger capital program.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https://efis.psc.mo.gov/Case/Display/102282?utm_source=openai" TargetMode="External" /><Relationship Type="http://schemas.openxmlformats.org/officeDocument/2006/relationships/hyperlink" Id="rId13" Target="https://forecast.weather.gov/product.php?format=CI&amp;glossary=1&amp;issuedby=MCI&amp;product=CLM&amp;site=MKX&amp;version=2&amp;utm_source=openai" TargetMode="External" /><Relationship Type="http://schemas.openxmlformats.org/officeDocument/2006/relationships/hyperlink" Id="rId9" Target="https://newsroom.evergy.com/2026-07-16-Evergy-schedules-conference-call-to-discuss-2nd-quarter-results?utm_source=openai" TargetMode="External" /><Relationship Type="http://schemas.openxmlformats.org/officeDocument/2006/relationships/hyperlink" Id="rId11" Target="https://www.barchart.com/stocks/quotes/EVRG/earnings-estimate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efis.psc.mo.gov/Case/Display/102282?utm_source=openai" TargetMode="External" /><Relationship Type="http://schemas.openxmlformats.org/officeDocument/2006/relationships/hyperlink" Id="rId13" Target="https://forecast.weather.gov/product.php?format=CI&amp;glossary=1&amp;issuedby=MCI&amp;product=CLM&amp;site=MKX&amp;version=2&amp;utm_source=openai" TargetMode="External" /><Relationship Type="http://schemas.openxmlformats.org/officeDocument/2006/relationships/hyperlink" Id="rId9" Target="https://newsroom.evergy.com/2026-07-16-Evergy-schedules-conference-call-to-discuss-2nd-quarter-results?utm_source=openai" TargetMode="External" /><Relationship Type="http://schemas.openxmlformats.org/officeDocument/2006/relationships/hyperlink" Id="rId11" Target="https://www.barchart.com/stocks/quotes/EVRG/earnings-estimate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2026-08-06T00:33:47Z</dcterms:created>
  <dcterms:modified xsi:type="dcterms:W3CDTF">2026-08-06T00:33:47Z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