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vrg-earnings-predictions--2026-08-06"/>
    <w:p>
      <w:pPr>
        <w:pStyle w:val="Heading1"/>
      </w:pPr>
      <w:r>
        <w:t xml:space="preserve">EVRG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 vs. cons $0.76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~$1.74B vs. cons $1.71B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weather-normalized retail-load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~4.5% vs. cons 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4.14</m:t>
              </m:r>
              <m:r>
                <m:rPr>
                  <m:sty m:val="p"/>
                </m:rPr>
                <m:t>−</m:t>
              </m:r>
            </m:oMath>
            <w:r>
              <w:t xml:space="preserve">4.34 vs. cons $4.25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retail-load-growth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3.0%-4.0%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capital-investment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21.8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21.8B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Additional large-load ESA expectation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at least 1 ESA vs. cons 1 ESA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~$0.78 EPS result versus $0.76 consensus and ~4.5% normalized-load growth versus 3.6% should support an initial positive reaction, but unchanged</w:t>
            </w:r>
            <w:r>
              <w:t xml:space="preserve"> </w:t>
            </w:r>
            <m:oMath>
              <m:r>
                <m:t>4.14</m:t>
              </m:r>
              <m:r>
                <m:rPr>
                  <m:sty m:val="p"/>
                </m:rPr>
                <m:t>−</m:t>
              </m:r>
            </m:oMath>
            <w:r>
              <w:t xml:space="preserve">4.34 FY2026 EPS guidance versus $4.25 consensus leaves no out-period estimate reset. With the data-center/load-growth thesis already well understood, the initial ~1.5% residual move is likely to fade toward ~0.5% over five days absent a new ESA or incremental capital-plan upside.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2026-08-06T00:31:45Z</dcterms:created>
  <dcterms:modified xsi:type="dcterms:W3CDTF">2026-08-06T00:31:45Z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