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4" w:name="X4d7804fd304edb5593eb43e616db4bad6563654"/>
    <w:p>
      <w:pPr>
        <w:pStyle w:val="Heading1"/>
      </w:pPr>
      <w:r>
        <w:t xml:space="preserve">Evergy (NASDAQ: EVRG) — 2Q26 Earnings Preview</w:t>
      </w:r>
    </w:p>
    <w:p>
      <w:pPr>
        <w:pStyle w:val="BlockText"/>
      </w:pPr>
      <w:r>
        <w:rPr>
          <w:b/>
          <w:bCs/>
        </w:rPr>
        <w:t xml:space="preserve">Timing clarification:</w:t>
      </w:r>
      <w:r>
        <w:t xml:space="preserve"> </w:t>
      </w:r>
      <w:r>
        <w:t xml:space="preserve">Evergy is scheduled to report</w:t>
      </w:r>
      <w:r>
        <w:t xml:space="preserve"> </w:t>
      </w:r>
      <w:r>
        <w:rPr>
          <w:b/>
          <w:bCs/>
        </w:rPr>
        <w:t xml:space="preserve">today, Thursday, August 6, 2026, before market open</w:t>
      </w:r>
      <w:r>
        <w:t xml:space="preserve">, followed by its conference call at</w:t>
      </w:r>
      <w:r>
        <w:t xml:space="preserve"> </w:t>
      </w:r>
      <w:r>
        <w:rPr>
          <w:b/>
          <w:bCs/>
        </w:rPr>
        <w:t xml:space="preserve">9:00 a.m. ET</w:t>
      </w:r>
      <w:r>
        <w:t xml:space="preserve">—not tomorrow. This preview is based on information available ahead of that release.</w:t>
      </w:r>
    </w:p>
    <w:bookmarkStart w:id="9" w:name="X722247a9528adeb09092d4ef738a15f27c922c8"/>
    <w:p>
      <w:pPr>
        <w:pStyle w:val="Heading2"/>
      </w:pPr>
      <w:r>
        <w:t xml:space="preserve">Investment view: execution against a rapidly improving growth plan is the key</w:t>
      </w:r>
    </w:p>
    <w:p>
      <w:pPr>
        <w:pStyle w:val="FirstParagraph"/>
      </w:pPr>
      <w:r>
        <w:t xml:space="preserve">Evergy’s second-quarter report is less about a single-quarter EPS outcome and more about whether the company continues to validate its unusually strong large-load growth story. The company entered 2026 with a regulated-utility profile, but its signed data-center and industrial customer agreements have created a materially higher-load-growth, capital-investment, and earnings-growth trajectory.</w:t>
      </w:r>
    </w:p>
    <w:p>
      <w:pPr>
        <w:pStyle w:val="BodyText"/>
      </w:pPr>
      <w:r>
        <w:t xml:space="preserve">The central question for investors:</w:t>
      </w:r>
      <w:r>
        <w:t xml:space="preserve"> </w:t>
      </w:r>
      <w:r>
        <w:rPr>
          <w:b/>
          <w:bCs/>
        </w:rPr>
        <w:t xml:space="preserve">does 2Q reinforce management’s confidence that contracted large-load demand can fund a larger capital plan, preserve affordability, and support earnings growth above 8% beginning in 2028?</w:t>
      </w:r>
    </w:p>
    <w:p>
      <w:pPr>
        <w:pStyle w:val="BodyText"/>
      </w:pPr>
      <w:r>
        <w:t xml:space="preserve">A clean result should include:</w:t>
      </w:r>
    </w:p>
    <w:p>
      <w:pPr>
        <w:pStyle w:val="Compact"/>
        <w:numPr>
          <w:ilvl w:val="0"/>
          <w:numId w:val="1001"/>
        </w:numPr>
      </w:pPr>
      <w:r>
        <w:t xml:space="preserve">Adjusted EPS within management’s implied quarterly range;</w:t>
      </w:r>
    </w:p>
    <w:p>
      <w:pPr>
        <w:pStyle w:val="Compact"/>
        <w:numPr>
          <w:ilvl w:val="0"/>
          <w:numId w:val="1001"/>
        </w:numPr>
      </w:pPr>
      <w:r>
        <w:t xml:space="preserve">Reaffirmed</w:t>
      </w:r>
      <w:r>
        <w:t xml:space="preserve"> </w:t>
      </w:r>
      <w:r>
        <w:rPr>
          <w:b/>
          <w:bCs/>
        </w:rPr>
        <w:t xml:space="preserve">2026 adjusted EPS guidance of</w:t>
      </w:r>
      <w:r>
        <w:rPr>
          <w:b/>
          <w:bCs/>
        </w:rPr>
        <w:t xml:space="preserve"> </w:t>
      </w:r>
      <m:oMath>
        <m:r>
          <m:t>4.14</m:t>
        </m:r>
        <m:r>
          <m:rPr>
            <m:sty m:val="p"/>
          </m:rPr>
          <m:t>–</m:t>
        </m:r>
      </m:oMath>
      <w:r>
        <w:rPr>
          <w:b/>
          <w:bCs/>
        </w:rPr>
        <w:t xml:space="preserve">4.34</w:t>
      </w:r>
      <w:r>
        <w:t xml:space="preserve">;</w:t>
      </w:r>
    </w:p>
    <w:p>
      <w:pPr>
        <w:pStyle w:val="Compact"/>
        <w:numPr>
          <w:ilvl w:val="0"/>
          <w:numId w:val="1001"/>
        </w:numPr>
      </w:pPr>
      <w:r>
        <w:t xml:space="preserve">Evidence that commercial and industrial load growth remains robust;</w:t>
      </w:r>
    </w:p>
    <w:p>
      <w:pPr>
        <w:pStyle w:val="Compact"/>
        <w:numPr>
          <w:ilvl w:val="0"/>
          <w:numId w:val="1001"/>
        </w:numPr>
      </w:pPr>
      <w:r>
        <w:t xml:space="preserve">Progress toward another large-load electric-service agreement (ESA) in 2026;</w:t>
      </w:r>
    </w:p>
    <w:p>
      <w:pPr>
        <w:pStyle w:val="Compact"/>
        <w:numPr>
          <w:ilvl w:val="0"/>
          <w:numId w:val="1001"/>
        </w:numPr>
      </w:pPr>
      <w:r>
        <w:t xml:space="preserve">No deterioration in cost, financing, regulatory, or construction outlooks.</w:t>
      </w:r>
    </w:p>
    <w:bookmarkEnd w:id="9"/>
    <w:bookmarkStart w:id="11" w:name="what-is-expected"/>
    <w:p>
      <w:pPr>
        <w:pStyle w:val="Heading2"/>
      </w:pPr>
      <w:r>
        <w:t xml:space="preserve">What is expected</w:t>
      </w:r>
    </w:p>
    <w:bookmarkStart w:id="10" w:name="managements-implied-2q-earnings-range"/>
    <w:p>
      <w:pPr>
        <w:pStyle w:val="Heading3"/>
      </w:pPr>
      <w:r>
        <w:t xml:space="preserve">Management’s implied 2Q earnings range</w:t>
      </w:r>
    </w:p>
    <w:p>
      <w:pPr>
        <w:pStyle w:val="FirstParagraph"/>
      </w:pPr>
      <w:r>
        <w:t xml:space="preserve">At its first-quarter call, Evergy guided to second-quarter adjusted EPS equal to</w:t>
      </w:r>
      <w:r>
        <w:t xml:space="preserve"> </w:t>
      </w:r>
      <w:r>
        <w:rPr>
          <w:b/>
          <w:bCs/>
        </w:rPr>
        <w:t xml:space="preserve">17%–19% of the $4.24 midpoint</w:t>
      </w:r>
      <w:r>
        <w:t xml:space="preserve"> </w:t>
      </w:r>
      <w:r>
        <w:t xml:space="preserve">of full-year guidance. That implies approximately:</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Implied 2Q26 range</w:t>
            </w:r>
          </w:p>
        </w:tc>
      </w:tr>
      <w:tr>
        <w:tc>
          <w:tcPr/>
          <w:p>
            <w:pPr>
              <w:pStyle w:val="Compact"/>
            </w:pPr>
            <w:r>
              <w:t xml:space="preserve">Adjusted EPS</w:t>
            </w:r>
          </w:p>
        </w:tc>
        <w:tc>
          <w:tcPr/>
          <w:p>
            <w:pPr>
              <w:pStyle w:val="Compact"/>
              <w:jc w:val="right"/>
            </w:pPr>
            <m:oMath>
              <m:r>
                <m:t>0.72</m:t>
              </m:r>
              <m:r>
                <m:rPr>
                  <m:sty m:val="p"/>
                </m:rPr>
                <m:t>–</m:t>
              </m:r>
            </m:oMath>
            <w:r>
              <w:rPr>
                <w:b/>
                <w:bCs/>
              </w:rPr>
              <w:t xml:space="preserve">0.81</w:t>
            </w:r>
          </w:p>
        </w:tc>
      </w:tr>
      <w:tr>
        <w:tc>
          <w:tcPr/>
          <w:p>
            <w:pPr>
              <w:pStyle w:val="Compact"/>
            </w:pPr>
            <w:r>
              <w:t xml:space="preserve">Midpoint</w:t>
            </w:r>
          </w:p>
        </w:tc>
        <w:tc>
          <w:tcPr/>
          <w:p>
            <w:pPr>
              <w:pStyle w:val="Compact"/>
              <w:jc w:val="right"/>
            </w:pPr>
            <w:r>
              <w:rPr>
                <w:b/>
                <w:bCs/>
              </w:rPr>
              <w:t xml:space="preserve">~$0.76</w:t>
            </w:r>
          </w:p>
        </w:tc>
      </w:tr>
      <w:tr>
        <w:tc>
          <w:tcPr/>
          <w:p>
            <w:pPr>
              <w:pStyle w:val="Compact"/>
            </w:pPr>
            <w:r>
              <w:t xml:space="preserve">2Q25 adjusted EPS</w:t>
            </w:r>
          </w:p>
        </w:tc>
        <w:tc>
          <w:tcPr/>
          <w:p>
            <w:pPr>
              <w:pStyle w:val="Compact"/>
              <w:jc w:val="right"/>
            </w:pPr>
            <w:r>
              <w:rPr>
                <w:b/>
                <w:bCs/>
              </w:rPr>
              <w:t xml:space="preserve">$0.82</w:t>
            </w:r>
          </w:p>
        </w:tc>
      </w:tr>
    </w:tbl>
    <w:p>
      <w:pPr>
        <w:pStyle w:val="BodyText"/>
      </w:pPr>
      <w:r>
        <w:t xml:space="preserve">The year-over-year comparison may not be the most useful read-through. In 2Q25, adjusted EPS was $0.82, but results were hurt by a</w:t>
      </w:r>
      <w:r>
        <w:t xml:space="preserve"> </w:t>
      </w:r>
      <w:r>
        <w:rPr>
          <w:b/>
          <w:bCs/>
        </w:rPr>
        <w:t xml:space="preserve">26% decline in cooling degree days</w:t>
      </w:r>
      <w:r>
        <w:t xml:space="preserve"> </w:t>
      </w:r>
      <w:r>
        <w:t xml:space="preserve">and higher O&amp;M, interest, and depreciation expense. For 2Q26, investors should focus on underlying demand, regulated-investment recovery, large-customer revenues, and the quality of guidance rather than weather-driven variability.</w:t>
      </w:r>
    </w:p>
    <w:bookmarkEnd w:id="10"/>
    <w:bookmarkEnd w:id="11"/>
    <w:bookmarkStart w:id="16" w:name="why-the-setup-matters"/>
    <w:p>
      <w:pPr>
        <w:pStyle w:val="Heading2"/>
      </w:pPr>
      <w:r>
        <w:t xml:space="preserve">Why the setup matters</w:t>
      </w:r>
    </w:p>
    <w:bookmarkStart w:id="12" w:name="X74e99e69bfd0486d0c437aacb8a7ba729160ec4"/>
    <w:p>
      <w:pPr>
        <w:pStyle w:val="Heading3"/>
      </w:pPr>
      <w:r>
        <w:t xml:space="preserve">1. Large-load execution has transformed the medium-term outlook</w:t>
      </w:r>
    </w:p>
    <w:p>
      <w:pPr>
        <w:pStyle w:val="FirstParagraph"/>
      </w:pPr>
      <w:r>
        <w:t xml:space="preserve">In May, Evergy said it had signed</w:t>
      </w:r>
      <w:r>
        <w:t xml:space="preserve"> </w:t>
      </w:r>
      <w:r>
        <w:rPr>
          <w:b/>
          <w:bCs/>
        </w:rPr>
        <w:t xml:space="preserve">five data-center ESAs</w:t>
      </w:r>
      <w:r>
        <w:t xml:space="preserve"> </w:t>
      </w:r>
      <w:r>
        <w:t xml:space="preserve">and had approximately</w:t>
      </w:r>
      <w:r>
        <w:t xml:space="preserve"> </w:t>
      </w:r>
      <w:r>
        <w:rPr>
          <w:b/>
          <w:bCs/>
        </w:rPr>
        <w:t xml:space="preserve">3.0 GW</w:t>
      </w:r>
      <w:r>
        <w:t xml:space="preserve"> </w:t>
      </w:r>
      <w:r>
        <w:t xml:space="preserve">of total large-customer peak demand either operating or contracted, including Panasonic. The five data-center agreements alone represented roughly</w:t>
      </w:r>
      <w:r>
        <w:t xml:space="preserve"> </w:t>
      </w:r>
      <w:r>
        <w:rPr>
          <w:b/>
          <w:bCs/>
        </w:rPr>
        <w:t xml:space="preserve">2.5 GW</w:t>
      </w:r>
      <w:r>
        <w:t xml:space="preserve"> </w:t>
      </w:r>
      <w:r>
        <w:t xml:space="preserve">of steady-state peak load.</w:t>
      </w:r>
    </w:p>
    <w:p>
      <w:pPr>
        <w:pStyle w:val="BodyText"/>
      </w:pPr>
      <w:r>
        <w:t xml:space="preserve">Importantly, the company’s large-load tariff structure includes minimum-bill and credit/collateral protections. At March 31, Evergy disclosed</w:t>
      </w:r>
      <w:r>
        <w:t xml:space="preserve"> </w:t>
      </w:r>
      <w:r>
        <w:rPr>
          <w:b/>
          <w:bCs/>
        </w:rPr>
        <w:t xml:space="preserve">$8.7 billion of remaining minimum contractual consideration</w:t>
      </w:r>
      <w:r>
        <w:t xml:space="preserve"> </w:t>
      </w:r>
      <w:r>
        <w:t xml:space="preserve">from large-load customer contracts, with remaining terms of 10–17 years. That is a meaningful source of cash-flow and earnings visibility relative to a conventional utility demand forecast.</w:t>
      </w:r>
    </w:p>
    <w:p>
      <w:pPr>
        <w:pStyle w:val="BodyText"/>
      </w:pPr>
      <w:r>
        <w:t xml:space="preserve">Management’s updated plan calls for:</w:t>
      </w:r>
    </w:p>
    <w:p>
      <w:pPr>
        <w:pStyle w:val="Compact"/>
        <w:numPr>
          <w:ilvl w:val="0"/>
          <w:numId w:val="1002"/>
        </w:numPr>
      </w:pPr>
      <w:r>
        <w:rPr>
          <w:b/>
          <w:bCs/>
        </w:rPr>
        <w:t xml:space="preserve">7%–8% retail-load CAGR through 2030</w:t>
      </w:r>
      <w:r>
        <w:t xml:space="preserve">, up from 6% previously;</w:t>
      </w:r>
    </w:p>
    <w:p>
      <w:pPr>
        <w:pStyle w:val="Compact"/>
        <w:numPr>
          <w:ilvl w:val="0"/>
          <w:numId w:val="1002"/>
        </w:numPr>
      </w:pPr>
      <w:r>
        <w:t xml:space="preserve">Approximately</w:t>
      </w:r>
      <w:r>
        <w:t xml:space="preserve"> </w:t>
      </w:r>
      <w:r>
        <w:rPr>
          <w:b/>
          <w:bCs/>
        </w:rPr>
        <w:t xml:space="preserve">12% rate-base CAGR</w:t>
      </w:r>
      <w:r>
        <w:t xml:space="preserve">, up from 11.5%;</w:t>
      </w:r>
    </w:p>
    <w:p>
      <w:pPr>
        <w:pStyle w:val="Compact"/>
        <w:numPr>
          <w:ilvl w:val="0"/>
          <w:numId w:val="1002"/>
        </w:numPr>
      </w:pPr>
      <w:r>
        <w:t xml:space="preserve">Adjusted EPS growth of</w:t>
      </w:r>
      <w:r>
        <w:t xml:space="preserve"> </w:t>
      </w:r>
      <w:r>
        <w:rPr>
          <w:b/>
          <w:bCs/>
        </w:rPr>
        <w:t xml:space="preserve">6%–8%+ through 2030</w:t>
      </w:r>
      <w:r>
        <w:t xml:space="preserve"> </w:t>
      </w:r>
      <w:r>
        <w:t xml:space="preserve">from the 2026 midpoint;</w:t>
      </w:r>
    </w:p>
    <w:p>
      <w:pPr>
        <w:pStyle w:val="Compact"/>
        <w:numPr>
          <w:ilvl w:val="0"/>
          <w:numId w:val="1002"/>
        </w:numPr>
      </w:pPr>
      <w:r>
        <w:t xml:space="preserve">Growth expected to</w:t>
      </w:r>
      <w:r>
        <w:t xml:space="preserve"> </w:t>
      </w:r>
      <w:r>
        <w:rPr>
          <w:b/>
          <w:bCs/>
        </w:rPr>
        <w:t xml:space="preserve">exceed 8% annually starting in 2028</w:t>
      </w:r>
      <w:r>
        <w:t xml:space="preserve">;</w:t>
      </w:r>
    </w:p>
    <w:p>
      <w:pPr>
        <w:pStyle w:val="Compact"/>
        <w:numPr>
          <w:ilvl w:val="0"/>
          <w:numId w:val="1002"/>
        </w:numPr>
      </w:pPr>
      <w:r>
        <w:t xml:space="preserve">FFO-to-debt of roughly</w:t>
      </w:r>
      <w:r>
        <w:t xml:space="preserve"> </w:t>
      </w:r>
      <w:r>
        <w:rPr>
          <w:b/>
          <w:bCs/>
        </w:rPr>
        <w:t xml:space="preserve">14%–15% during 2026–2028</w:t>
      </w:r>
      <w:r>
        <w:t xml:space="preserve">, improving thereafter as large customers ramp.</w:t>
      </w:r>
    </w:p>
    <w:p>
      <w:pPr>
        <w:pStyle w:val="FirstParagraph"/>
      </w:pPr>
      <w:r>
        <w:rPr>
          <w:b/>
          <w:bCs/>
        </w:rPr>
        <w:t xml:space="preserve">What to listen for:</w:t>
      </w:r>
      <w:r>
        <w:t xml:space="preserve"> </w:t>
      </w:r>
      <w:r>
        <w:t xml:space="preserve">confirmation that customer ramps are on schedule, an update on a potential sixth ESA, and any incremental capital required to serve the signed queue.</w:t>
      </w:r>
    </w:p>
    <w:bookmarkEnd w:id="12"/>
    <w:bookmarkStart w:id="13" w:name="X3032bd23cbd998ed3d69f987a3fe99c995b5811"/>
    <w:p>
      <w:pPr>
        <w:pStyle w:val="Heading3"/>
      </w:pPr>
      <w:r>
        <w:t xml:space="preserve">2. Demand growth should remain the near-term operating proof point</w:t>
      </w:r>
    </w:p>
    <w:p>
      <w:pPr>
        <w:pStyle w:val="FirstParagraph"/>
      </w:pPr>
      <w:r>
        <w:t xml:space="preserve">First-quarter weather-normalized demand grew</w:t>
      </w:r>
      <w:r>
        <w:t xml:space="preserve"> </w:t>
      </w:r>
      <w:r>
        <w:rPr>
          <w:b/>
          <w:bCs/>
        </w:rPr>
        <w:t xml:space="preserve">4.7%</w:t>
      </w:r>
      <w:r>
        <w:t xml:space="preserve">, with growth across all classes:</w:t>
      </w:r>
    </w:p>
    <w:p>
      <w:pPr>
        <w:pStyle w:val="Compact"/>
        <w:numPr>
          <w:ilvl w:val="0"/>
          <w:numId w:val="1003"/>
        </w:numPr>
      </w:pPr>
      <w:r>
        <w:t xml:space="preserve">Residential:</w:t>
      </w:r>
      <w:r>
        <w:t xml:space="preserve"> </w:t>
      </w:r>
      <w:r>
        <w:rPr>
          <w:b/>
          <w:bCs/>
        </w:rPr>
        <w:t xml:space="preserve">+3.3%</w:t>
      </w:r>
    </w:p>
    <w:p>
      <w:pPr>
        <w:pStyle w:val="Compact"/>
        <w:numPr>
          <w:ilvl w:val="0"/>
          <w:numId w:val="1003"/>
        </w:numPr>
      </w:pPr>
      <w:r>
        <w:t xml:space="preserve">Commercial:</w:t>
      </w:r>
      <w:r>
        <w:t xml:space="preserve"> </w:t>
      </w:r>
      <w:r>
        <w:rPr>
          <w:b/>
          <w:bCs/>
        </w:rPr>
        <w:t xml:space="preserve">+3.8%</w:t>
      </w:r>
      <w:r>
        <w:t xml:space="preserve">, aided by initial data-center ramping</w:t>
      </w:r>
    </w:p>
    <w:p>
      <w:pPr>
        <w:pStyle w:val="Compact"/>
        <w:numPr>
          <w:ilvl w:val="0"/>
          <w:numId w:val="1003"/>
        </w:numPr>
      </w:pPr>
      <w:r>
        <w:t xml:space="preserve">Industrial:</w:t>
      </w:r>
      <w:r>
        <w:t xml:space="preserve"> </w:t>
      </w:r>
      <w:r>
        <w:rPr>
          <w:b/>
          <w:bCs/>
        </w:rPr>
        <w:t xml:space="preserve">+10.1%</w:t>
      </w:r>
      <w:r>
        <w:t xml:space="preserve">, supported by Panasonic and a large customer returning from a prior-year outage</w:t>
      </w:r>
    </w:p>
    <w:p>
      <w:pPr>
        <w:pStyle w:val="FirstParagraph"/>
      </w:pPr>
      <w:r>
        <w:t xml:space="preserve">The first-quarter data-center project began operating in March, ahead of plan, while Panasonic continued to ramp. Those trends should provide a favorable underlying demand backdrop in 2Q, though weather will remain an important swing factor.</w:t>
      </w:r>
    </w:p>
    <w:p>
      <w:pPr>
        <w:pStyle w:val="BodyText"/>
      </w:pPr>
      <w:r>
        <w:t xml:space="preserve">For the quarter, the most relevant disclosures will be:</w:t>
      </w:r>
    </w:p>
    <w:p>
      <w:pPr>
        <w:pStyle w:val="Compact"/>
        <w:numPr>
          <w:ilvl w:val="0"/>
          <w:numId w:val="1004"/>
        </w:numPr>
      </w:pPr>
      <w:r>
        <w:t xml:space="preserve">Weather-normalized retail-sales growth;</w:t>
      </w:r>
    </w:p>
    <w:p>
      <w:pPr>
        <w:pStyle w:val="Compact"/>
        <w:numPr>
          <w:ilvl w:val="0"/>
          <w:numId w:val="1004"/>
        </w:numPr>
      </w:pPr>
      <w:r>
        <w:t xml:space="preserve">Commercial and industrial load growth;</w:t>
      </w:r>
    </w:p>
    <w:p>
      <w:pPr>
        <w:pStyle w:val="Compact"/>
        <w:numPr>
          <w:ilvl w:val="0"/>
          <w:numId w:val="1004"/>
        </w:numPr>
      </w:pPr>
      <w:r>
        <w:t xml:space="preserve">Actual versus expected large-load ramps;</w:t>
      </w:r>
    </w:p>
    <w:p>
      <w:pPr>
        <w:pStyle w:val="Compact"/>
        <w:numPr>
          <w:ilvl w:val="0"/>
          <w:numId w:val="1004"/>
        </w:numPr>
      </w:pPr>
      <w:r>
        <w:t xml:space="preserve">Any update to full-year</w:t>
      </w:r>
      <w:r>
        <w:t xml:space="preserve"> </w:t>
      </w:r>
      <w:r>
        <w:rPr>
          <w:b/>
          <w:bCs/>
        </w:rPr>
        <w:t xml:space="preserve">3%–4%</w:t>
      </w:r>
      <w:r>
        <w:t xml:space="preserve"> </w:t>
      </w:r>
      <w:r>
        <w:t xml:space="preserve">load-growth expectations.</w:t>
      </w:r>
    </w:p>
    <w:bookmarkEnd w:id="13"/>
    <w:bookmarkStart w:id="14" w:name="X561243ad70c7f398f89f21271bcd96ee3475b21"/>
    <w:p>
      <w:pPr>
        <w:pStyle w:val="Heading3"/>
      </w:pPr>
      <w:r>
        <w:t xml:space="preserve">3. Regulatory progress is the next major valuation catalyst</w:t>
      </w:r>
    </w:p>
    <w:p>
      <w:pPr>
        <w:pStyle w:val="FirstParagraph"/>
      </w:pPr>
      <w:r>
        <w:t xml:space="preserve">Evergy’s growth plan requires constructive regulatory outcomes—particularly as capital investment rises. The most immediate item is the</w:t>
      </w:r>
      <w:r>
        <w:t xml:space="preserve"> </w:t>
      </w:r>
      <w:r>
        <w:rPr>
          <w:b/>
          <w:bCs/>
        </w:rPr>
        <w:t xml:space="preserve">Evergy Metro Missouri rate case</w:t>
      </w:r>
      <w:r>
        <w:t xml:space="preserve">, where the company requested approximately</w:t>
      </w:r>
      <w:r>
        <w:t xml:space="preserve"> </w:t>
      </w:r>
      <w:r>
        <w:rPr>
          <w:b/>
          <w:bCs/>
        </w:rPr>
        <w:t xml:space="preserve">$140 million</w:t>
      </w:r>
      <w:r>
        <w:t xml:space="preserve"> </w:t>
      </w:r>
      <w:r>
        <w:t xml:space="preserve">of annual retail-revenue relief based on a 10.5% ROE and 52% equity capitalization.</w:t>
      </w:r>
    </w:p>
    <w:p>
      <w:pPr>
        <w:pStyle w:val="BodyText"/>
      </w:pPr>
      <w:r>
        <w:t xml:space="preserve">The timetable points to:</w:t>
      </w:r>
    </w:p>
    <w:p>
      <w:pPr>
        <w:pStyle w:val="Compact"/>
        <w:numPr>
          <w:ilvl w:val="0"/>
          <w:numId w:val="1005"/>
        </w:numPr>
      </w:pPr>
      <w:r>
        <w:t xml:space="preserve">Staff/intervenor testimony: June 30, 2026;</w:t>
      </w:r>
    </w:p>
    <w:p>
      <w:pPr>
        <w:pStyle w:val="Compact"/>
        <w:numPr>
          <w:ilvl w:val="0"/>
          <w:numId w:val="1005"/>
        </w:numPr>
      </w:pPr>
      <w:r>
        <w:t xml:space="preserve">Settlement conferences: September 23–24, 2026;</w:t>
      </w:r>
    </w:p>
    <w:p>
      <w:pPr>
        <w:pStyle w:val="Compact"/>
        <w:numPr>
          <w:ilvl w:val="0"/>
          <w:numId w:val="1005"/>
        </w:numPr>
      </w:pPr>
      <w:r>
        <w:t xml:space="preserve">Hearings: October 2026;</w:t>
      </w:r>
    </w:p>
    <w:p>
      <w:pPr>
        <w:pStyle w:val="Compact"/>
        <w:numPr>
          <w:ilvl w:val="0"/>
          <w:numId w:val="1005"/>
        </w:numPr>
      </w:pPr>
      <w:r>
        <w:t xml:space="preserve">New rates targeted for about</w:t>
      </w:r>
      <w:r>
        <w:t xml:space="preserve"> </w:t>
      </w:r>
      <w:r>
        <w:rPr>
          <w:b/>
          <w:bCs/>
        </w:rPr>
        <w:t xml:space="preserve">January 1, 2027</w:t>
      </w:r>
      <w:r>
        <w:t xml:space="preserve">.</w:t>
      </w:r>
    </w:p>
    <w:p>
      <w:pPr>
        <w:pStyle w:val="FirstParagraph"/>
      </w:pPr>
      <w:r>
        <w:t xml:space="preserve">Management previously noted constructive settlements in recent Kansas and Missouri cases, but investors will want to assess whether stakeholder positions create a credible path to settlement. Commentary on the Missouri and Kansas integrated resource plans—and associated generation, storage, and transmission needs—will also matter because those plans define the capital opportunity needed to serve growing demand.</w:t>
      </w:r>
    </w:p>
    <w:bookmarkEnd w:id="14"/>
    <w:bookmarkStart w:id="15" w:name="X8e232cb83fdb15f07996f3e1d9d240674548d72"/>
    <w:p>
      <w:pPr>
        <w:pStyle w:val="Heading3"/>
      </w:pPr>
      <w:r>
        <w:t xml:space="preserve">4. The cost of growth remains the principal counterweight</w:t>
      </w:r>
    </w:p>
    <w:p>
      <w:pPr>
        <w:pStyle w:val="FirstParagraph"/>
      </w:pPr>
      <w:r>
        <w:t xml:space="preserve">Evergy’s first-quarter results illustrated the trade-off embedded in the investment thesis. Regulated-investment recovery added roughly</w:t>
      </w:r>
      <w:r>
        <w:t xml:space="preserve"> </w:t>
      </w:r>
      <w:r>
        <w:rPr>
          <w:b/>
          <w:bCs/>
        </w:rPr>
        <w:t xml:space="preserve">$0.15 per share** year over year, but higher O&amp;M, depreciation, and net interest expense reduced EPS by approximately **$</w:t>
      </w:r>
      <w:r>
        <w:rPr>
          <w:b/>
          <w:bCs/>
        </w:rPr>
        <w:t xml:space="preserve">0.10</w:t>
      </w:r>
      <w:r>
        <w:t xml:space="preserve">.</w:t>
      </w:r>
    </w:p>
    <w:p>
      <w:pPr>
        <w:pStyle w:val="BodyText"/>
      </w:pPr>
      <w:r>
        <w:t xml:space="preserve">Key pressures to monitor in 2Q:</w:t>
      </w:r>
    </w:p>
    <w:p>
      <w:pPr>
        <w:pStyle w:val="Compact"/>
        <w:numPr>
          <w:ilvl w:val="0"/>
          <w:numId w:val="1006"/>
        </w:numPr>
      </w:pPr>
      <w:r>
        <w:t xml:space="preserve">O&amp;M, including labor, medical, contractor, and grid-maintenance costs;</w:t>
      </w:r>
    </w:p>
    <w:p>
      <w:pPr>
        <w:pStyle w:val="Compact"/>
        <w:numPr>
          <w:ilvl w:val="0"/>
          <w:numId w:val="1006"/>
        </w:numPr>
      </w:pPr>
      <w:r>
        <w:t xml:space="preserve">Depreciation associated with a rapidly expanding asset base;</w:t>
      </w:r>
    </w:p>
    <w:p>
      <w:pPr>
        <w:pStyle w:val="Compact"/>
        <w:numPr>
          <w:ilvl w:val="0"/>
          <w:numId w:val="1006"/>
        </w:numPr>
      </w:pPr>
      <w:r>
        <w:t xml:space="preserve">Interest expense and financing needs;</w:t>
      </w:r>
    </w:p>
    <w:p>
      <w:pPr>
        <w:pStyle w:val="Compact"/>
        <w:numPr>
          <w:ilvl w:val="0"/>
          <w:numId w:val="1006"/>
        </w:numPr>
      </w:pPr>
      <w:r>
        <w:t xml:space="preserve">Equipment availability and construction timing for generation and transmission projects;</w:t>
      </w:r>
    </w:p>
    <w:p>
      <w:pPr>
        <w:pStyle w:val="Compact"/>
        <w:numPr>
          <w:ilvl w:val="0"/>
          <w:numId w:val="1006"/>
        </w:numPr>
      </w:pPr>
      <w:r>
        <w:t xml:space="preserve">Potential dilution from the financing plan.</w:t>
      </w:r>
    </w:p>
    <w:p>
      <w:pPr>
        <w:pStyle w:val="FirstParagraph"/>
      </w:pPr>
      <w:r>
        <w:t xml:space="preserve">Capital spending is already accelerating: first-quarter property, plant, and equipment additions were</w:t>
      </w:r>
      <w:r>
        <w:t xml:space="preserve"> </w:t>
      </w:r>
      <w:r>
        <w:rPr>
          <w:b/>
          <w:bCs/>
        </w:rPr>
        <w:t xml:space="preserve">$851.9 million</w:t>
      </w:r>
      <w:r>
        <w:t xml:space="preserve">, versus</w:t>
      </w:r>
      <w:r>
        <w:t xml:space="preserve"> </w:t>
      </w:r>
      <m:oMath>
        <m:r>
          <m:t>592.8</m:t>
        </m:r>
        <m:r>
          <m:t>m</m:t>
        </m:r>
        <m:r>
          <m:t>i</m:t>
        </m:r>
        <m:r>
          <m:t>l</m:t>
        </m:r>
        <m:r>
          <m:t>l</m:t>
        </m:r>
        <m:r>
          <m:t>i</m:t>
        </m:r>
        <m:r>
          <m:t>o</m:t>
        </m:r>
        <m:r>
          <m:t>n</m:t>
        </m:r>
        <m:r>
          <m:t>a</m:t>
        </m:r>
        <m:r>
          <m:t>y</m:t>
        </m:r>
        <m:r>
          <m:t>e</m:t>
        </m:r>
        <m:r>
          <m:t>a</m:t>
        </m:r>
        <m:r>
          <m:t>r</m:t>
        </m:r>
        <m:r>
          <m:t>e</m:t>
        </m:r>
        <m:r>
          <m:t>a</m:t>
        </m:r>
        <m:r>
          <m:t>r</m:t>
        </m:r>
        <m:r>
          <m:t>l</m:t>
        </m:r>
        <m:r>
          <m:t>i</m:t>
        </m:r>
        <m:r>
          <m:t>e</m:t>
        </m:r>
        <m:r>
          <m:t>r</m:t>
        </m:r>
        <m:r>
          <m:rPr>
            <m:sty m:val="p"/>
          </m:rPr>
          <m:t>.</m:t>
        </m:r>
        <m:r>
          <m:t>M</m:t>
        </m:r>
        <m:r>
          <m:t>a</m:t>
        </m:r>
        <m:r>
          <m:t>n</m:t>
        </m:r>
        <m:r>
          <m:t>a</m:t>
        </m:r>
        <m:r>
          <m:t>g</m:t>
        </m:r>
        <m:r>
          <m:t>e</m:t>
        </m:r>
        <m:r>
          <m:t>m</m:t>
        </m:r>
        <m:r>
          <m:t>e</m:t>
        </m:r>
        <m:r>
          <m:t>n</m:t>
        </m:r>
        <m:r>
          <m:t>t</m:t>
        </m:r>
        <m:r>
          <m:t>h</m:t>
        </m:r>
        <m:r>
          <m:t>a</m:t>
        </m:r>
        <m:r>
          <m:t>s</m:t>
        </m:r>
        <m:r>
          <m:t>i</m:t>
        </m:r>
        <m:r>
          <m:t>n</m:t>
        </m:r>
        <m:r>
          <m:t>d</m:t>
        </m:r>
        <m:r>
          <m:t>i</m:t>
        </m:r>
        <m:r>
          <m:t>c</m:t>
        </m:r>
        <m:r>
          <m:t>a</m:t>
        </m:r>
        <m:r>
          <m:t>t</m:t>
        </m:r>
        <m:r>
          <m:t>e</m:t>
        </m:r>
        <m:r>
          <m:t>d</m:t>
        </m:r>
        <m:r>
          <m:t>a</m:t>
        </m:r>
        <m:r>
          <m:t>n</m:t>
        </m:r>
        <m:r>
          <m:t>n</m:t>
        </m:r>
        <m:r>
          <m:t>u</m:t>
        </m:r>
        <m:r>
          <m:t>a</m:t>
        </m:r>
        <m:r>
          <m:t>l</m:t>
        </m:r>
        <m:r>
          <m:t>e</m:t>
        </m:r>
        <m:r>
          <m:t>q</m:t>
        </m:r>
        <m:r>
          <m:t>u</m:t>
        </m:r>
        <m:r>
          <m:t>i</m:t>
        </m:r>
        <m:r>
          <m:t>t</m:t>
        </m:r>
        <m:r>
          <m:t>y</m:t>
        </m:r>
        <m:r>
          <m:t>i</m:t>
        </m:r>
        <m:r>
          <m:t>s</m:t>
        </m:r>
        <m:r>
          <m:t>s</m:t>
        </m:r>
        <m:r>
          <m:t>u</m:t>
        </m:r>
        <m:r>
          <m:t>a</m:t>
        </m:r>
        <m:r>
          <m:t>n</m:t>
        </m:r>
        <m:r>
          <m:t>c</m:t>
        </m:r>
        <m:r>
          <m:t>e</m:t>
        </m:r>
        <m:r>
          <m:t>o</m:t>
        </m:r>
        <m:r>
          <m:t>f</m:t>
        </m:r>
        <m:r>
          <m:t>r</m:t>
        </m:r>
        <m:r>
          <m:t>o</m:t>
        </m:r>
        <m:r>
          <m:t>u</m:t>
        </m:r>
        <m:r>
          <m:t>g</m:t>
        </m:r>
        <m:r>
          <m:t>h</m:t>
        </m:r>
        <m:r>
          <m:t>l</m:t>
        </m:r>
        <m:r>
          <m:t>y</m:t>
        </m:r>
        <m:r>
          <m:rPr>
            <m:sty m:val="p"/>
          </m:rPr>
          <m:t>*</m:t>
        </m:r>
        <m:r>
          <m:rPr>
            <m:sty m:val="p"/>
          </m:rPr>
          <m:t>*</m:t>
        </m:r>
      </m:oMath>
      <w:r>
        <w:t xml:space="preserve">700 million–$900 million from 2026 through 2029**, largely through its ATM program. The long-term earnings opportunity can support that funding need, but the market will be sensitive to any increase in capital intensity or equity requirement beyond the current framework.</w:t>
      </w:r>
    </w:p>
    <w:bookmarkEnd w:id="15"/>
    <w:bookmarkEnd w:id="16"/>
    <w:bookmarkStart w:id="20" w:name="bull-base-and-bear-read-throughs"/>
    <w:p>
      <w:pPr>
        <w:pStyle w:val="Heading2"/>
      </w:pPr>
      <w:r>
        <w:t xml:space="preserve">Bull, base, and bear read-throughs</w:t>
      </w:r>
    </w:p>
    <w:bookmarkStart w:id="17" w:name="bullish-outcome"/>
    <w:p>
      <w:pPr>
        <w:pStyle w:val="Heading3"/>
      </w:pPr>
      <w:r>
        <w:t xml:space="preserve">Bullish outcome</w:t>
      </w:r>
    </w:p>
    <w:p>
      <w:pPr>
        <w:pStyle w:val="Compact"/>
        <w:numPr>
          <w:ilvl w:val="0"/>
          <w:numId w:val="1007"/>
        </w:numPr>
      </w:pPr>
      <w:r>
        <w:t xml:space="preserve">EPS meets or exceeds the high end of the implied</w:t>
      </w:r>
      <w:r>
        <w:t xml:space="preserve"> </w:t>
      </w:r>
      <m:oMath>
        <m:r>
          <m:t>0.72</m:t>
        </m:r>
        <m:r>
          <m:rPr>
            <m:sty m:val="p"/>
          </m:rPr>
          <m:t>–</m:t>
        </m:r>
      </m:oMath>
      <w:r>
        <w:rPr>
          <w:b/>
          <w:bCs/>
        </w:rPr>
        <w:t xml:space="preserve">0.81</w:t>
      </w:r>
      <w:r>
        <w:t xml:space="preserve"> </w:t>
      </w:r>
      <w:r>
        <w:t xml:space="preserve">range;</w:t>
      </w:r>
    </w:p>
    <w:p>
      <w:pPr>
        <w:pStyle w:val="Compact"/>
        <w:numPr>
          <w:ilvl w:val="0"/>
          <w:numId w:val="1007"/>
        </w:numPr>
      </w:pPr>
      <w:r>
        <w:t xml:space="preserve">2026 guidance is reaffirmed or narrowed upward;</w:t>
      </w:r>
    </w:p>
    <w:p>
      <w:pPr>
        <w:pStyle w:val="Compact"/>
        <w:numPr>
          <w:ilvl w:val="0"/>
          <w:numId w:val="1007"/>
        </w:numPr>
      </w:pPr>
      <w:r>
        <w:t xml:space="preserve">Demand growth remains strong despite normal weather comparisons;</w:t>
      </w:r>
    </w:p>
    <w:p>
      <w:pPr>
        <w:pStyle w:val="Compact"/>
        <w:numPr>
          <w:ilvl w:val="0"/>
          <w:numId w:val="1007"/>
        </w:numPr>
      </w:pPr>
      <w:r>
        <w:t xml:space="preserve">Evergy signs, or gives highly specific timing around, an additional ESA;</w:t>
      </w:r>
    </w:p>
    <w:p>
      <w:pPr>
        <w:pStyle w:val="Compact"/>
        <w:numPr>
          <w:ilvl w:val="0"/>
          <w:numId w:val="1007"/>
        </w:numPr>
      </w:pPr>
      <w:r>
        <w:t xml:space="preserve">IRP updates support incremental generation/transmission investment without changing the company’s equity-financing framework;</w:t>
      </w:r>
    </w:p>
    <w:p>
      <w:pPr>
        <w:pStyle w:val="Compact"/>
        <w:numPr>
          <w:ilvl w:val="0"/>
          <w:numId w:val="1007"/>
        </w:numPr>
      </w:pPr>
      <w:r>
        <w:t xml:space="preserve">Management expresses confidence in a constructive Missouri rate-case outcome.</w:t>
      </w:r>
    </w:p>
    <w:bookmarkEnd w:id="17"/>
    <w:bookmarkStart w:id="18" w:name="base-case-outcome"/>
    <w:p>
      <w:pPr>
        <w:pStyle w:val="Heading3"/>
      </w:pPr>
      <w:r>
        <w:t xml:space="preserve">Base-case outcome</w:t>
      </w:r>
    </w:p>
    <w:p>
      <w:pPr>
        <w:pStyle w:val="Compact"/>
        <w:numPr>
          <w:ilvl w:val="0"/>
          <w:numId w:val="1008"/>
        </w:numPr>
      </w:pPr>
      <w:r>
        <w:t xml:space="preserve">EPS lands near the implied midpoint;</w:t>
      </w:r>
    </w:p>
    <w:p>
      <w:pPr>
        <w:pStyle w:val="Compact"/>
        <w:numPr>
          <w:ilvl w:val="0"/>
          <w:numId w:val="1008"/>
        </w:numPr>
      </w:pPr>
      <w:r>
        <w:t xml:space="preserve">Full-year guidance is reaffirmed;</w:t>
      </w:r>
    </w:p>
    <w:p>
      <w:pPr>
        <w:pStyle w:val="Compact"/>
        <w:numPr>
          <w:ilvl w:val="0"/>
          <w:numId w:val="1008"/>
        </w:numPr>
      </w:pPr>
      <w:r>
        <w:t xml:space="preserve">Large-customer ramps remain on track, but no new ESA is announced;</w:t>
      </w:r>
    </w:p>
    <w:p>
      <w:pPr>
        <w:pStyle w:val="Compact"/>
        <w:numPr>
          <w:ilvl w:val="0"/>
          <w:numId w:val="1008"/>
        </w:numPr>
      </w:pPr>
      <w:r>
        <w:t xml:space="preserve">Management reiterates higher capex and financing needs without material changes;</w:t>
      </w:r>
    </w:p>
    <w:p>
      <w:pPr>
        <w:pStyle w:val="Compact"/>
        <w:numPr>
          <w:ilvl w:val="0"/>
          <w:numId w:val="1008"/>
        </w:numPr>
      </w:pPr>
      <w:r>
        <w:t xml:space="preserve">Regulatory commentary is steady but offers no incremental resolution.</w:t>
      </w:r>
    </w:p>
    <w:bookmarkEnd w:id="18"/>
    <w:bookmarkStart w:id="19" w:name="bearish-outcome"/>
    <w:p>
      <w:pPr>
        <w:pStyle w:val="Heading3"/>
      </w:pPr>
      <w:r>
        <w:t xml:space="preserve">Bearish outcome</w:t>
      </w:r>
    </w:p>
    <w:p>
      <w:pPr>
        <w:pStyle w:val="Compact"/>
        <w:numPr>
          <w:ilvl w:val="0"/>
          <w:numId w:val="1009"/>
        </w:numPr>
      </w:pPr>
      <w:r>
        <w:t xml:space="preserve">Weather, outages, O&amp;M, or interest expense push results below the implied range;</w:t>
      </w:r>
    </w:p>
    <w:p>
      <w:pPr>
        <w:pStyle w:val="Compact"/>
        <w:numPr>
          <w:ilvl w:val="0"/>
          <w:numId w:val="1009"/>
        </w:numPr>
      </w:pPr>
      <w:r>
        <w:t xml:space="preserve">Load ramps are delayed or customer demand assumptions soften;</w:t>
      </w:r>
    </w:p>
    <w:p>
      <w:pPr>
        <w:pStyle w:val="Compact"/>
        <w:numPr>
          <w:ilvl w:val="0"/>
          <w:numId w:val="1009"/>
        </w:numPr>
      </w:pPr>
      <w:r>
        <w:t xml:space="preserve">Management flags materially higher construction costs, equipment constraints, or incremental equity needs;</w:t>
      </w:r>
    </w:p>
    <w:p>
      <w:pPr>
        <w:pStyle w:val="Compact"/>
        <w:numPr>
          <w:ilvl w:val="0"/>
          <w:numId w:val="1009"/>
        </w:numPr>
      </w:pPr>
      <w:r>
        <w:t xml:space="preserve">The Missouri rate case appears more contentious than investors expect;</w:t>
      </w:r>
    </w:p>
    <w:p>
      <w:pPr>
        <w:pStyle w:val="Compact"/>
        <w:numPr>
          <w:ilvl w:val="0"/>
          <w:numId w:val="1009"/>
        </w:numPr>
      </w:pPr>
      <w:r>
        <w:t xml:space="preserve">Affordability concerns limit rate recovery or constrain the pace of investment.</w:t>
      </w:r>
    </w:p>
    <w:bookmarkEnd w:id="19"/>
    <w:bookmarkEnd w:id="20"/>
    <w:bookmarkStart w:id="21" w:name="stock-context"/>
    <w:p>
      <w:pPr>
        <w:pStyle w:val="Heading2"/>
      </w:pPr>
      <w:r>
        <w:t xml:space="preserve">Stock context</w:t>
      </w:r>
    </w:p>
    <w:p>
      <w:pPr>
        <w:pStyle w:val="FirstParagraph"/>
      </w:pPr>
      <w:r>
        <w:t xml:space="preserve">EVRG closed at</w:t>
      </w:r>
      <w:r>
        <w:t xml:space="preserve"> </w:t>
      </w:r>
      <w:r>
        <w:rPr>
          <w:b/>
          <w:bCs/>
        </w:rPr>
        <w:t xml:space="preserve">$83.08 on August 5</w:t>
      </w:r>
      <w:r>
        <w:t xml:space="preserve">, up roughly</w:t>
      </w:r>
      <w:r>
        <w:t xml:space="preserve"> </w:t>
      </w:r>
      <w:r>
        <w:rPr>
          <w:b/>
          <w:bCs/>
        </w:rPr>
        <w:t xml:space="preserve">13.7% year to date</w:t>
      </w:r>
      <w:r>
        <w:t xml:space="preserve"> </w:t>
      </w:r>
      <w:r>
        <w:t xml:space="preserve">from $73.08 on January 2. The stock’s move suggests investors have already begun rewarding the contracted-load and rate-base-growth narrative. That raises the importance of execution: a simple in-line quarter may be insufficient if it does not reinforce the visibility of the large-load pipeline, capital plan, and regulatory recovery.</w:t>
      </w:r>
    </w:p>
    <w:bookmarkEnd w:id="21"/>
    <w:bookmarkStart w:id="23" w:name="bottom-line"/>
    <w:p>
      <w:pPr>
        <w:pStyle w:val="Heading2"/>
      </w:pPr>
      <w:r>
        <w:t xml:space="preserve">Bottom line</w:t>
      </w:r>
    </w:p>
    <w:p>
      <w:pPr>
        <w:pStyle w:val="FirstParagraph"/>
      </w:pPr>
      <w:r>
        <w:t xml:space="preserve">Evergy enters 2Q with a compelling strategic setup: contracted large-load demand, a growing capital plan, and potential for earnings growth above the traditional utility range. The near-term earnings print matters, but the more consequential signals will be</w:t>
      </w:r>
      <w:r>
        <w:t xml:space="preserve"> </w:t>
      </w:r>
      <w:r>
        <w:rPr>
          <w:b/>
          <w:bCs/>
        </w:rPr>
        <w:t xml:space="preserve">large-customer ramp execution, another possible ESA, regulatory progress, and whether financing discipline remains intact as investment accelerates</w:t>
      </w:r>
      <w:r>
        <w:t xml:space="preserve">.</w:t>
      </w:r>
    </w:p>
    <w:p>
      <w:pPr>
        <w:pStyle w:val="BodyText"/>
      </w:pPr>
      <w:r>
        <w:t xml:space="preserve">For investors, the report is best viewed as a test of whether Evergy can convert its data-center-driven opportunity from an attractive forecast into demonstrated operating and regulatory execution.</w:t>
      </w:r>
    </w:p>
    <w:bookmarkStart w:id="22" w:name="sources-reviewed"/>
    <w:p>
      <w:pPr>
        <w:pStyle w:val="Heading3"/>
      </w:pPr>
      <w:r>
        <w:t xml:space="preserve">Sources reviewed</w:t>
      </w:r>
    </w:p>
    <w:p>
      <w:pPr>
        <w:pStyle w:val="Compact"/>
        <w:numPr>
          <w:ilvl w:val="0"/>
          <w:numId w:val="1010"/>
        </w:numPr>
      </w:pPr>
      <w:r>
        <w:t xml:space="preserve">Evergy 1Q26 earnings release and earnings-call transcript</w:t>
      </w:r>
    </w:p>
    <w:p>
      <w:pPr>
        <w:pStyle w:val="Compact"/>
        <w:numPr>
          <w:ilvl w:val="0"/>
          <w:numId w:val="1010"/>
        </w:numPr>
      </w:pPr>
      <w:r>
        <w:t xml:space="preserve">Evergy 1Q26 Form 10-Q</w:t>
      </w:r>
    </w:p>
    <w:p>
      <w:pPr>
        <w:pStyle w:val="Compact"/>
        <w:numPr>
          <w:ilvl w:val="0"/>
          <w:numId w:val="1010"/>
        </w:numPr>
      </w:pPr>
      <w:r>
        <w:t xml:space="preserve">Evergy 2Q26 earnings-call scheduling announcement</w:t>
      </w:r>
    </w:p>
    <w:p>
      <w:pPr>
        <w:pStyle w:val="Compact"/>
        <w:numPr>
          <w:ilvl w:val="0"/>
          <w:numId w:val="1010"/>
        </w:numPr>
      </w:pPr>
      <w:r>
        <w:t xml:space="preserve">Evergy 2Q25 earnings release</w:t>
      </w:r>
    </w:p>
    <w:p>
      <w:pPr>
        <w:pStyle w:val="Compact"/>
        <w:numPr>
          <w:ilvl w:val="0"/>
          <w:numId w:val="1010"/>
        </w:numPr>
      </w:pPr>
      <w:r>
        <w:t xml:space="preserve">EVRG historical share-price data through August 5, 2026</w:t>
      </w:r>
    </w:p>
    <w:bookmarkEnd w:id="22"/>
    <w:bookmarkEnd w:id="23"/>
    <w:bookmarkEnd w:id="2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2026-08-06T00:31:45Z</dcterms:created>
  <dcterms:modified xsi:type="dcterms:W3CDTF">2026-08-06T00:31:45Z</dcterms:modified>
</cp:coreProperties>
</file>

<file path=docProps/custom.xml><?xml version="1.0" encoding="utf-8"?>
<Properties xmlns="http://schemas.openxmlformats.org/officeDocument/2006/custom-properties" xmlns:vt="http://schemas.openxmlformats.org/officeDocument/2006/docPropsVTypes"/>
</file>