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Evergy, Inc. (EVRG)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EVRG</w:t>
            </w:r>
          </w:p>
        </w:tc>
        <w:tc>
          <w:tcPr>
            <w:tcW w:type="dxa" w:w="2160"/>
          </w:tcPr>
          <w:p>
            <w:r>
              <w:rPr>
                <w:rFonts w:ascii="Calibri" w:hAnsi="Calibri"/>
                <w:b/>
                <w:sz w:val="22"/>
              </w:rPr>
              <w:t>Reporting Period</w:t>
            </w:r>
          </w:p>
        </w:tc>
        <w:tc>
          <w:tcPr>
            <w:tcW w:type="dxa" w:w="2160"/>
          </w:tcPr>
          <w:p>
            <w:r>
              <w:rPr>
                <w:rFonts w:ascii="Calibri" w:hAnsi="Calibri"/>
                <w:sz w:val="22"/>
              </w:rPr>
              <w:t>Q2 2026 (ending June 30, 2026)</w:t>
            </w:r>
          </w:p>
        </w:tc>
      </w:tr>
      <w:tr>
        <w:tc>
          <w:tcPr>
            <w:tcW w:type="dxa" w:w="2160"/>
          </w:tcPr>
          <w:p>
            <w:r>
              <w:rPr>
                <w:rFonts w:ascii="Calibri" w:hAnsi="Calibri"/>
                <w:b/>
                <w:sz w:val="22"/>
              </w:rPr>
              <w:t>Sector</w:t>
            </w:r>
          </w:p>
        </w:tc>
        <w:tc>
          <w:tcPr>
            <w:tcW w:type="dxa" w:w="2160"/>
          </w:tcPr>
          <w:p>
            <w:r>
              <w:rPr>
                <w:rFonts w:ascii="Calibri" w:hAnsi="Calibri"/>
                <w:sz w:val="22"/>
              </w:rPr>
              <w:t>Utilities — Regulated Electric</w:t>
            </w:r>
          </w:p>
        </w:tc>
        <w:tc>
          <w:tcPr>
            <w:tcW w:type="dxa" w:w="2160"/>
          </w:tcPr>
          <w:p>
            <w:r>
              <w:rPr>
                <w:rFonts w:ascii="Calibri" w:hAnsi="Calibri"/>
                <w:b/>
                <w:sz w:val="22"/>
              </w:rPr>
              <w:t>Earnings Call Date</w:t>
            </w:r>
          </w:p>
        </w:tc>
        <w:tc>
          <w:tcPr>
            <w:tcW w:type="dxa" w:w="2160"/>
          </w:tcPr>
          <w:p>
            <w:r>
              <w:rPr>
                <w:rFonts w:ascii="Calibri" w:hAnsi="Calibri"/>
                <w:sz w:val="22"/>
              </w:rPr>
              <w:t>TBD (scheduled per July 16, 2026 press release)</w:t>
            </w:r>
          </w:p>
        </w:tc>
      </w:tr>
      <w:tr>
        <w:tc>
          <w:tcPr>
            <w:tcW w:type="dxa" w:w="2160"/>
          </w:tcPr>
          <w:p>
            <w:r>
              <w:rPr>
                <w:rFonts w:ascii="Calibri" w:hAnsi="Calibri"/>
                <w:b/>
                <w:sz w:val="22"/>
              </w:rPr>
              <w:t>Last Earnings</w:t>
            </w:r>
          </w:p>
        </w:tc>
        <w:tc>
          <w:tcPr>
            <w:tcW w:type="dxa" w:w="2160"/>
          </w:tcPr>
          <w:p>
            <w:r>
              <w:rPr>
                <w:rFonts w:ascii="Calibri" w:hAnsi="Calibri"/>
                <w:sz w:val="22"/>
              </w:rPr>
              <w:t>Q1 2026 — May 7, 2026</w:t>
            </w:r>
          </w:p>
        </w:tc>
        <w:tc>
          <w:tcPr>
            <w:tcW w:type="dxa" w:w="2160"/>
          </w:tcPr>
          <w:p>
            <w:r>
              <w:rPr>
                <w:rFonts w:ascii="Calibri" w:hAnsi="Calibri"/>
                <w:b/>
                <w:sz w:val="22"/>
              </w:rPr>
              <w:t>Prepared Date</w:t>
            </w:r>
          </w:p>
        </w:tc>
        <w:tc>
          <w:tcPr>
            <w:tcW w:type="dxa" w:w="2160"/>
          </w:tcPr>
          <w:p>
            <w:r>
              <w:rPr>
                <w:rFonts w:ascii="Calibri" w:hAnsi="Calibri"/>
                <w:sz w:val="22"/>
              </w:rPr>
              <w:t>August 5,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stretched — consensus sits at $0.81 adjusted EPS for Q2 2026, a manageable bar given strong weather-normalized demand trends and ESA revenue contributions, with the biggest swing factor being the pace of large-load customer ramp and any additional ESA announcement.</w:t>
      </w:r>
    </w:p>
    <w:p>
      <w:r>
        <w:rPr>
          <w:rFonts w:ascii="Calibri" w:hAnsi="Calibri"/>
          <w:color w:val="525866"/>
          <w:sz w:val="22"/>
        </w:rPr>
        <w:t xml:space="preserve">Heading into Q2 2026, Evergy's setup is one of the more compelling in the regulated utility space. </w:t>
      </w:r>
      <w:r>
        <w:rPr>
          <w:rFonts w:ascii="Calibri" w:hAnsi="Calibri"/>
          <w:b/>
          <w:color w:val="525866"/>
          <w:sz w:val="22"/>
        </w:rPr>
        <w:t>Consensus adjusted EPS of ~$0.81</w:t>
      </w:r>
      <w:r>
        <w:rPr>
          <w:rFonts w:ascii="Calibri" w:hAnsi="Calibri"/>
          <w:color w:val="525866"/>
          <w:sz w:val="22"/>
        </w:rPr>
        <w:t xml:space="preserve"> compares to $0.82 reported in Q2 2025, implying a roughly flat year-over-year bar — but that framing understates the underlying improvement, as Q2 2025 benefited from favorable weather while Q2 2026 is being driven by structural load growth from data center ramps and ESA revenues. Management reaffirmed full-year 2026 adjusted EPS guidance of $4.14–$4.34 (midpoint $4.24) on the Q1 call and provided explicit Q2 guidance of 17–19% of the $4.24 midpoint, implying a range of approximately $0.72–$0.80 — meaning current consensus of ~$0.81 sits modestly above the top of management's own Q2 guidance range, creating a slight beat-or-miss tension. Estimate revisions have been modestly positive since the Q1 print, with the FY2026 consensus edging up from $4.22 to $4.24, consistent with management's tone of cautious confidence. </w:t>
      </w:r>
    </w:p>
    <w:p>
      <w:r>
        <w:rPr>
          <w:rFonts w:ascii="Calibri" w:hAnsi="Calibri"/>
          <w:color w:val="525866"/>
          <w:sz w:val="22"/>
        </w:rPr>
        <w:t xml:space="preserve">The stock has rallied approximately 0.4% since the Q1 earnings date (May 7) on an absolute basis, outperforming XLU which declined ~3.2% over the same period, suggesting the market has already rewarded EVRG's differentiated large-load growth story with a modest premium. The primary wildcard heading into the print is </w:t>
      </w:r>
      <w:r>
        <w:rPr>
          <w:rFonts w:ascii="Calibri" w:hAnsi="Calibri"/>
          <w:b/>
          <w:color w:val="525866"/>
          <w:sz w:val="22"/>
        </w:rPr>
        <w:t>whether management announces a sixth ESA</w:t>
      </w:r>
      <w:r>
        <w:rPr>
          <w:rFonts w:ascii="Calibri" w:hAnsi="Calibri"/>
          <w:color w:val="525866"/>
          <w:sz w:val="22"/>
        </w:rPr>
        <w:t xml:space="preserve"> (guided as likely in 2026 and representing upside to the current financial plan) and any update on the Missouri Metro rate case procedural schedule, which targets new rates around January 1, 2027.</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adjusted EPS of ~$0.81 sits just above management’s own Q2 guidance range of $0.72–$0.80, making EPS the primary swing factor; revenue consensus of ~$1.45B implies modest YoY growth, supported by ESA revenues and weather-normalized demand, but weather remains a wildcard.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Adjusted EPS (Diluted)</w:t>
            </w:r>
          </w:p>
        </w:tc>
        <w:tc>
          <w:tcPr>
            <w:tcW w:type="dxa" w:w="1234"/>
          </w:tcPr>
          <w:p>
            <w:r>
              <w:rPr>
                <w:rFonts w:ascii="Calibri" w:hAnsi="Calibri"/>
                <w:sz w:val="22"/>
              </w:rPr>
              <w:t>$0.69</w:t>
            </w:r>
          </w:p>
        </w:tc>
        <w:tc>
          <w:tcPr>
            <w:tcW w:type="dxa" w:w="1234"/>
          </w:tcPr>
          <w:p>
            <w:r>
              <w:rPr>
                <w:rFonts w:ascii="Calibri" w:hAnsi="Calibri"/>
                <w:sz w:val="22"/>
              </w:rPr>
              <w:t>$0.82</w:t>
            </w:r>
          </w:p>
        </w:tc>
        <w:tc>
          <w:tcPr>
            <w:tcW w:type="dxa" w:w="1234"/>
          </w:tcPr>
          <w:p>
            <w:r>
              <w:rPr>
                <w:rFonts w:ascii="Calibri" w:hAnsi="Calibri"/>
                <w:sz w:val="22"/>
              </w:rPr>
              <w:t>$0.81</w:t>
            </w:r>
          </w:p>
        </w:tc>
        <w:tc>
          <w:tcPr>
            <w:tcW w:type="dxa" w:w="1234"/>
          </w:tcPr>
          <w:p>
            <w:r>
              <w:rPr>
                <w:rFonts w:ascii="Calibri" w:hAnsi="Calibri"/>
                <w:sz w:val="22"/>
              </w:rPr>
              <w:t>-1.2%</w:t>
            </w:r>
          </w:p>
        </w:tc>
        <w:tc>
          <w:tcPr>
            <w:tcW w:type="dxa" w:w="1234"/>
          </w:tcPr>
          <w:p>
            <w:r>
              <w:rPr>
                <w:rFonts w:ascii="Calibri" w:hAnsi="Calibri"/>
                <w:sz w:val="22"/>
              </w:rPr>
              <w:t>17–19% of $4.24 midpoint (~$0.72–$0.80)</w:t>
            </w:r>
          </w:p>
        </w:tc>
        <w:tc>
          <w:tcPr>
            <w:tcW w:type="dxa" w:w="1234"/>
          </w:tcPr>
          <w:p>
            <w:r>
              <w:rPr>
                <w:rFonts w:ascii="Calibri" w:hAnsi="Calibri"/>
                <w:sz w:val="22"/>
              </w:rPr>
              <w:t>+1.3% to +12.5% above guidance range midpoint (~$0.76)</w:t>
            </w:r>
          </w:p>
        </w:tc>
      </w:tr>
      <w:tr>
        <w:tc>
          <w:tcPr>
            <w:tcW w:type="dxa" w:w="1234"/>
          </w:tcPr>
          <w:p>
            <w:r>
              <w:rPr>
                <w:rFonts w:ascii="Calibri" w:hAnsi="Calibri"/>
                <w:sz w:val="22"/>
              </w:rPr>
              <w:t>Total Revenue</w:t>
            </w:r>
          </w:p>
        </w:tc>
        <w:tc>
          <w:tcPr>
            <w:tcW w:type="dxa" w:w="1234"/>
          </w:tcPr>
          <w:p>
            <w:r>
              <w:rPr>
                <w:rFonts w:ascii="Calibri" w:hAnsi="Calibri"/>
                <w:sz w:val="22"/>
              </w:rPr>
              <w:t>$1,443.7M</w:t>
            </w:r>
          </w:p>
        </w:tc>
        <w:tc>
          <w:tcPr>
            <w:tcW w:type="dxa" w:w="1234"/>
          </w:tcPr>
          <w:p>
            <w:r>
              <w:rPr>
                <w:rFonts w:ascii="Calibri" w:hAnsi="Calibri"/>
                <w:sz w:val="22"/>
              </w:rPr>
              <w:t>$1,437.0M</w:t>
            </w:r>
          </w:p>
        </w:tc>
        <w:tc>
          <w:tcPr>
            <w:tcW w:type="dxa" w:w="1234"/>
          </w:tcPr>
          <w:p>
            <w:r>
              <w:rPr>
                <w:rFonts w:ascii="Calibri" w:hAnsi="Calibri"/>
                <w:sz w:val="22"/>
              </w:rPr>
              <w:t>$1,453.5M</w:t>
            </w:r>
          </w:p>
        </w:tc>
        <w:tc>
          <w:tcPr>
            <w:tcW w:type="dxa" w:w="1234"/>
          </w:tcPr>
          <w:p>
            <w:r>
              <w:rPr>
                <w:rFonts w:ascii="Calibri" w:hAnsi="Calibri"/>
                <w:sz w:val="22"/>
              </w:rPr>
              <w:t>+1.1%</w:t>
            </w:r>
          </w:p>
        </w:tc>
        <w:tc>
          <w:tcPr>
            <w:tcW w:type="dxa" w:w="1234"/>
          </w:tcPr>
          <w:p>
            <w:r>
              <w:rPr>
                <w:rFonts w:ascii="Calibri" w:hAnsi="Calibri"/>
                <w:sz w:val="22"/>
              </w:rPr>
              <w:t>No explicit Q2 revenue guidance; FY2026 consensus $6.24B</w:t>
            </w:r>
          </w:p>
        </w:tc>
        <w:tc>
          <w:tcPr>
            <w:tcW w:type="dxa" w:w="1234"/>
          </w:tcPr>
          <w:p>
            <w:r>
              <w:rPr>
                <w:rFonts w:ascii="Calibri" w:hAnsi="Calibri"/>
                <w:sz w:val="22"/>
              </w:rPr>
              <w:t>N/A (no Q2 revenue guidance provided)</w:t>
            </w:r>
          </w:p>
        </w:tc>
      </w:tr>
      <w:tr>
        <w:tc>
          <w:tcPr>
            <w:tcW w:type="dxa" w:w="1234"/>
          </w:tcPr>
          <w:p>
            <w:r>
              <w:rPr>
                <w:rFonts w:ascii="Calibri" w:hAnsi="Calibri"/>
                <w:sz w:val="22"/>
              </w:rPr>
              <w:t>Capital Expenditures</w:t>
            </w:r>
          </w:p>
        </w:tc>
        <w:tc>
          <w:tcPr>
            <w:tcW w:type="dxa" w:w="1234"/>
          </w:tcPr>
          <w:p>
            <w:r>
              <w:rPr>
                <w:rFonts w:ascii="Calibri" w:hAnsi="Calibri"/>
                <w:sz w:val="22"/>
              </w:rPr>
              <w:t>$951.5M</w:t>
            </w:r>
          </w:p>
        </w:tc>
        <w:tc>
          <w:tcPr>
            <w:tcW w:type="dxa" w:w="1234"/>
          </w:tcPr>
          <w:p>
            <w:r>
              <w:rPr>
                <w:rFonts w:ascii="Calibri" w:hAnsi="Calibri"/>
                <w:sz w:val="22"/>
              </w:rPr>
              <w:t>$635.5M</w:t>
            </w:r>
          </w:p>
        </w:tc>
        <w:tc>
          <w:tcPr>
            <w:tcW w:type="dxa" w:w="1234"/>
          </w:tcPr>
          <w:p>
            <w:r>
              <w:rPr>
                <w:rFonts w:ascii="Calibri" w:hAnsi="Calibri"/>
                <w:sz w:val="22"/>
              </w:rPr>
              <w:t>$951.5M</w:t>
            </w:r>
          </w:p>
        </w:tc>
        <w:tc>
          <w:tcPr>
            <w:tcW w:type="dxa" w:w="1234"/>
          </w:tcPr>
          <w:p>
            <w:r>
              <w:rPr>
                <w:rFonts w:ascii="Calibri" w:hAnsi="Calibri"/>
                <w:sz w:val="22"/>
              </w:rPr>
              <w:t>+49.7%</w:t>
            </w:r>
          </w:p>
        </w:tc>
        <w:tc>
          <w:tcPr>
            <w:tcW w:type="dxa" w:w="1234"/>
          </w:tcPr>
          <w:p>
            <w:r>
              <w:rPr>
                <w:rFonts w:ascii="Calibri" w:hAnsi="Calibri"/>
                <w:sz w:val="22"/>
              </w:rPr>
              <w:t>$21.6B 5-year plan; ~$3.6B FY2026 consensus</w:t>
            </w:r>
          </w:p>
        </w:tc>
        <w:tc>
          <w:tcPr>
            <w:tcW w:type="dxa" w:w="1234"/>
          </w:tcPr>
          <w:p>
            <w:r>
              <w:rPr>
                <w:rFonts w:ascii="Calibri" w:hAnsi="Calibri"/>
                <w:sz w:val="22"/>
              </w:rPr>
              <w:t>N/A (no quarterly CapEx guidance)</w:t>
            </w:r>
          </w:p>
        </w:tc>
      </w:tr>
    </w:tbl>
    <w:p>
      <w:r>
        <w:rPr>
          <w:rFonts w:ascii="Calibri" w:hAnsi="Calibri"/>
          <w:color w:val="525866"/>
          <w:sz w:val="22"/>
        </w:rPr>
        <w:t>Source: Visible Alpha Consensus and Actuals Data. Q2 2026 consensus as of August 5, 2026. Q1 2026 actuals and Q2 2025 actuals from Visible Alpha reported figures. Management Q2 2026 EPS guidance of 17–19% of $4.24 midpoint stated on Q1 2026 earnings call (May 7,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$0.69</w:t>
            </w:r>
          </w:p>
        </w:tc>
        <w:tc>
          <w:tcPr>
            <w:tcW w:type="dxa" w:w="1440"/>
          </w:tcPr>
          <w:p>
            <w:r>
              <w:rPr>
                <w:rFonts w:ascii="Calibri" w:hAnsi="Calibri"/>
                <w:sz w:val="22"/>
              </w:rPr>
              <w:t>$0.62</w:t>
            </w:r>
          </w:p>
        </w:tc>
        <w:tc>
          <w:tcPr>
            <w:tcW w:type="dxa" w:w="1440"/>
          </w:tcPr>
          <w:p>
            <w:r>
              <w:rPr>
                <w:rFonts w:ascii="Calibri" w:hAnsi="Calibri"/>
                <w:b/>
                <w:color w:val="30A46C"/>
                <w:sz w:val="22"/>
              </w:rPr>
              <w:t>+11.3%</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$1,443.7M</w:t>
            </w:r>
          </w:p>
        </w:tc>
        <w:tc>
          <w:tcPr>
            <w:tcW w:type="dxa" w:w="1440"/>
          </w:tcPr>
          <w:p>
            <w:r>
              <w:rPr>
                <w:rFonts w:ascii="Calibri" w:hAnsi="Calibri"/>
                <w:sz w:val="22"/>
              </w:rPr>
              <w:t>$1,429.1M</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$0.42</w:t>
            </w:r>
          </w:p>
        </w:tc>
        <w:tc>
          <w:tcPr>
            <w:tcW w:type="dxa" w:w="1440"/>
          </w:tcPr>
          <w:p>
            <w:r>
              <w:rPr>
                <w:rFonts w:ascii="Calibri" w:hAnsi="Calibri"/>
                <w:sz w:val="22"/>
              </w:rPr>
              <w:t>$0.57</w:t>
            </w:r>
          </w:p>
        </w:tc>
        <w:tc>
          <w:tcPr>
            <w:tcW w:type="dxa" w:w="1440"/>
          </w:tcPr>
          <w:p>
            <w:r>
              <w:rPr>
                <w:rFonts w:ascii="Calibri" w:hAnsi="Calibri"/>
                <w:b/>
                <w:color w:val="E5484D"/>
                <w:sz w:val="22"/>
              </w:rPr>
              <w:t>-26.3%</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$1,340.2M</w:t>
            </w:r>
          </w:p>
        </w:tc>
        <w:tc>
          <w:tcPr>
            <w:tcW w:type="dxa" w:w="1440"/>
          </w:tcPr>
          <w:p>
            <w:r>
              <w:rPr>
                <w:rFonts w:ascii="Calibri" w:hAnsi="Calibri"/>
                <w:sz w:val="22"/>
              </w:rPr>
              <w:t>$1,297.3M</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$2.03</w:t>
            </w:r>
          </w:p>
        </w:tc>
        <w:tc>
          <w:tcPr>
            <w:tcW w:type="dxa" w:w="1440"/>
          </w:tcPr>
          <w:p>
            <w:r>
              <w:rPr>
                <w:rFonts w:ascii="Calibri" w:hAnsi="Calibri"/>
                <w:sz w:val="22"/>
              </w:rPr>
              <w:t>$2.00</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$1,809.9M</w:t>
            </w:r>
          </w:p>
        </w:tc>
        <w:tc>
          <w:tcPr>
            <w:tcW w:type="dxa" w:w="1440"/>
          </w:tcPr>
          <w:p>
            <w:r>
              <w:rPr>
                <w:rFonts w:ascii="Calibri" w:hAnsi="Calibri"/>
                <w:sz w:val="22"/>
              </w:rPr>
              <w:t>$1,847.3M</w:t>
            </w:r>
          </w:p>
        </w:tc>
        <w:tc>
          <w:tcPr>
            <w:tcW w:type="dxa" w:w="1440"/>
          </w:tcPr>
          <w:p>
            <w:r>
              <w:rPr>
                <w:rFonts w:ascii="Calibri" w:hAnsi="Calibri"/>
                <w:b/>
                <w:color w:val="E5484D"/>
                <w:sz w:val="22"/>
              </w:rPr>
              <w:t>-2.0%</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$0.82</w:t>
            </w:r>
          </w:p>
        </w:tc>
        <w:tc>
          <w:tcPr>
            <w:tcW w:type="dxa" w:w="1440"/>
          </w:tcPr>
          <w:p>
            <w:r>
              <w:rPr>
                <w:rFonts w:ascii="Calibri" w:hAnsi="Calibri"/>
                <w:sz w:val="22"/>
              </w:rPr>
              <w:t>$1.07</w:t>
            </w:r>
          </w:p>
        </w:tc>
        <w:tc>
          <w:tcPr>
            <w:tcW w:type="dxa" w:w="1440"/>
          </w:tcPr>
          <w:p>
            <w:r>
              <w:rPr>
                <w:rFonts w:ascii="Calibri" w:hAnsi="Calibri"/>
                <w:b/>
                <w:color w:val="E5484D"/>
                <w:sz w:val="22"/>
              </w:rPr>
              <w:t>-23.4%</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$1,437.0M</w:t>
            </w:r>
          </w:p>
        </w:tc>
        <w:tc>
          <w:tcPr>
            <w:tcW w:type="dxa" w:w="1440"/>
          </w:tcPr>
          <w:p>
            <w:r>
              <w:rPr>
                <w:rFonts w:ascii="Calibri" w:hAnsi="Calibri"/>
                <w:sz w:val="22"/>
              </w:rPr>
              <w:t>$1,481.2M</w:t>
            </w:r>
          </w:p>
        </w:tc>
        <w:tc>
          <w:tcPr>
            <w:tcW w:type="dxa" w:w="1440"/>
          </w:tcPr>
          <w:p>
            <w:r>
              <w:rPr>
                <w:rFonts w:ascii="Calibri" w:hAnsi="Calibri"/>
                <w:b/>
                <w:color w:val="E5484D"/>
                <w:sz w:val="22"/>
              </w:rPr>
              <w:t>-3.0%</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$0.55</w:t>
            </w:r>
          </w:p>
        </w:tc>
        <w:tc>
          <w:tcPr>
            <w:tcW w:type="dxa" w:w="1440"/>
          </w:tcPr>
          <w:p>
            <w:r>
              <w:rPr>
                <w:rFonts w:ascii="Calibri" w:hAnsi="Calibri"/>
                <w:sz w:val="22"/>
              </w:rPr>
              <w:t>$0.69</w:t>
            </w:r>
          </w:p>
        </w:tc>
        <w:tc>
          <w:tcPr>
            <w:tcW w:type="dxa" w:w="1440"/>
          </w:tcPr>
          <w:p>
            <w:r>
              <w:rPr>
                <w:rFonts w:ascii="Calibri" w:hAnsi="Calibri"/>
                <w:b/>
                <w:color w:val="E5484D"/>
                <w:sz w:val="22"/>
              </w:rPr>
              <w:t>-20.3%</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$1,374.5M</w:t>
            </w:r>
          </w:p>
        </w:tc>
        <w:tc>
          <w:tcPr>
            <w:tcW w:type="dxa" w:w="1440"/>
          </w:tcPr>
          <w:p>
            <w:r>
              <w:rPr>
                <w:rFonts w:ascii="Calibri" w:hAnsi="Calibri"/>
                <w:sz w:val="22"/>
              </w:rPr>
              <w:t>$1,158.0M</w:t>
            </w:r>
          </w:p>
        </w:tc>
        <w:tc>
          <w:tcPr>
            <w:tcW w:type="dxa" w:w="1440"/>
          </w:tcPr>
          <w:p>
            <w:r>
              <w:rPr>
                <w:rFonts w:ascii="Calibri" w:hAnsi="Calibri"/>
                <w:b/>
                <w:color w:val="30A46C"/>
                <w:sz w:val="22"/>
              </w:rPr>
              <w:t>+18.7%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$0.35</w:t>
            </w:r>
          </w:p>
        </w:tc>
        <w:tc>
          <w:tcPr>
            <w:tcW w:type="dxa" w:w="1440"/>
          </w:tcPr>
          <w:p>
            <w:r>
              <w:rPr>
                <w:rFonts w:ascii="Calibri" w:hAnsi="Calibri"/>
                <w:sz w:val="22"/>
              </w:rPr>
              <w:t>$0.40</w:t>
            </w:r>
          </w:p>
        </w:tc>
        <w:tc>
          <w:tcPr>
            <w:tcW w:type="dxa" w:w="1440"/>
          </w:tcPr>
          <w:p>
            <w:r>
              <w:rPr>
                <w:rFonts w:ascii="Calibri" w:hAnsi="Calibri"/>
                <w:b/>
                <w:color w:val="E5484D"/>
                <w:sz w:val="22"/>
              </w:rPr>
              <w:t>-12.5%</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$1,257.4M</w:t>
            </w:r>
          </w:p>
        </w:tc>
        <w:tc>
          <w:tcPr>
            <w:tcW w:type="dxa" w:w="1440"/>
          </w:tcPr>
          <w:p>
            <w:r>
              <w:rPr>
                <w:rFonts w:ascii="Calibri" w:hAnsi="Calibri"/>
                <w:sz w:val="22"/>
              </w:rPr>
              <w:t>$1,220.0M</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$2.02</w:t>
            </w:r>
          </w:p>
        </w:tc>
        <w:tc>
          <w:tcPr>
            <w:tcW w:type="dxa" w:w="1440"/>
          </w:tcPr>
          <w:p>
            <w:r>
              <w:rPr>
                <w:rFonts w:ascii="Calibri" w:hAnsi="Calibri"/>
                <w:sz w:val="22"/>
              </w:rPr>
              <w:t>$1.92</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$1,811.4M</w:t>
            </w:r>
          </w:p>
        </w:tc>
        <w:tc>
          <w:tcPr>
            <w:tcW w:type="dxa" w:w="1440"/>
          </w:tcPr>
          <w:p>
            <w:r>
              <w:rPr>
                <w:rFonts w:ascii="Calibri" w:hAnsi="Calibri"/>
                <w:sz w:val="22"/>
              </w:rPr>
              <w:t>$1,792.7M</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$0.90</w:t>
            </w:r>
          </w:p>
        </w:tc>
        <w:tc>
          <w:tcPr>
            <w:tcW w:type="dxa" w:w="1440"/>
          </w:tcPr>
          <w:p>
            <w:r>
              <w:rPr>
                <w:rFonts w:ascii="Calibri" w:hAnsi="Calibri"/>
                <w:sz w:val="22"/>
              </w:rPr>
              <w:t>$0.91</w:t>
            </w:r>
          </w:p>
        </w:tc>
        <w:tc>
          <w:tcPr>
            <w:tcW w:type="dxa" w:w="1440"/>
          </w:tcPr>
          <w:p>
            <w:r>
              <w:rPr>
                <w:rFonts w:ascii="Calibri" w:hAnsi="Calibri"/>
                <w:sz w:val="22"/>
              </w:rPr>
              <w:t>-1.1%</w:t>
            </w:r>
          </w:p>
        </w:tc>
        <w:tc>
          <w:tcPr>
            <w:tcW w:type="dxa" w:w="1440"/>
          </w:tcPr>
          <w:p>
            <w:r>
              <w:rPr>
                <w:rFonts w:ascii="Calibri" w:hAnsi="Calibri"/>
                <w:sz w:val="22"/>
              </w:rPr>
              <w:t>In-line</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$1,447.5M</w:t>
            </w:r>
          </w:p>
        </w:tc>
        <w:tc>
          <w:tcPr>
            <w:tcW w:type="dxa" w:w="1440"/>
          </w:tcPr>
          <w:p>
            <w:r>
              <w:rPr>
                <w:rFonts w:ascii="Calibri" w:hAnsi="Calibri"/>
                <w:sz w:val="22"/>
              </w:rPr>
              <w:t>$1,361.4M</w:t>
            </w:r>
          </w:p>
        </w:tc>
        <w:tc>
          <w:tcPr>
            <w:tcW w:type="dxa" w:w="1440"/>
          </w:tcPr>
          <w:p>
            <w:r>
              <w:rPr>
                <w:rFonts w:ascii="Calibri" w:hAnsi="Calibri"/>
                <w:b/>
                <w:color w:val="30A46C"/>
                <w:sz w:val="22"/>
              </w:rPr>
              <w:t>+6.3%</w:t>
            </w:r>
          </w:p>
        </w:tc>
        <w:tc>
          <w:tcPr>
            <w:tcW w:type="dxa" w:w="1440"/>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Pattern: EVRG has a mixed EPS beat/miss history — weather-driven quarters (Q2 2025, Q1 2025, Q4 2024) produced notable EPS misses, while peak-demand quarters (Q3 2024, Q3 2025) and the most recent Q1 2026 (ESA-boosted) delivered beats; revenue has been more consistently above consensus, suggesting the market has historically underestimated demand-side strength.</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but tone has shifted meaningfully more confident — management raised the long-term load growth forecast to 7–8% (from 6%), increased rate base CAGR to ~12%, and signaled at least one additional ESA in 2026 as upside to the plan.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EPS</w:t>
            </w:r>
          </w:p>
        </w:tc>
        <w:tc>
          <w:tcPr>
            <w:tcW w:type="dxa" w:w="1728"/>
          </w:tcPr>
          <w:p>
            <w:r>
              <w:rPr>
                <w:rFonts w:ascii="Calibri" w:hAnsi="Calibri"/>
                <w:sz w:val="22"/>
              </w:rPr>
              <w:t>$4.14–$4.34 (midpoint $4.24)</w:t>
            </w:r>
          </w:p>
        </w:tc>
        <w:tc>
          <w:tcPr>
            <w:tcW w:type="dxa" w:w="1728"/>
          </w:tcPr>
          <w:p>
            <w:r>
              <w:rPr>
                <w:rFonts w:ascii="Calibri" w:hAnsi="Calibri"/>
                <w:sz w:val="22"/>
              </w:rPr>
              <w:t>—</w:t>
            </w:r>
          </w:p>
        </w:tc>
        <w:tc>
          <w:tcPr>
            <w:tcW w:type="dxa" w:w="1728"/>
          </w:tcPr>
          <w:p>
            <w:r>
              <w:rPr>
                <w:rFonts w:ascii="Calibri" w:hAnsi="Calibri"/>
                <w:sz w:val="22"/>
              </w:rPr>
              <w:t>$4.24</w:t>
            </w:r>
          </w:p>
        </w:tc>
        <w:tc>
          <w:tcPr>
            <w:tcW w:type="dxa" w:w="1728"/>
          </w:tcPr>
          <w:p>
            <w:r>
              <w:rPr>
                <w:rFonts w:ascii="Calibri" w:hAnsi="Calibri"/>
                <w:sz w:val="22"/>
              </w:rPr>
              <w:t>Reaffirmed on Q1 call; unchanged. Consensus at midpoint.</w:t>
            </w:r>
          </w:p>
        </w:tc>
      </w:tr>
      <w:tr>
        <w:tc>
          <w:tcPr>
            <w:tcW w:type="dxa" w:w="1728"/>
          </w:tcPr>
          <w:p>
            <w:r>
              <w:rPr>
                <w:rFonts w:ascii="Calibri" w:hAnsi="Calibri"/>
                <w:sz w:val="22"/>
              </w:rPr>
              <w:t>Q2 2026 Adj. EPS (Directional)</w:t>
            </w:r>
          </w:p>
        </w:tc>
        <w:tc>
          <w:tcPr>
            <w:tcW w:type="dxa" w:w="1728"/>
          </w:tcPr>
          <w:p>
            <w:r>
              <w:rPr>
                <w:rFonts w:ascii="Calibri" w:hAnsi="Calibri"/>
                <w:sz w:val="22"/>
              </w:rPr>
              <w:t>17–19% of $4.24 midpoint (~$0.72–$0.80)</w:t>
            </w:r>
          </w:p>
        </w:tc>
        <w:tc>
          <w:tcPr>
            <w:tcW w:type="dxa" w:w="1728"/>
          </w:tcPr>
          <w:p>
            <w:r>
              <w:rPr>
                <w:rFonts w:ascii="Calibri" w:hAnsi="Calibri"/>
                <w:sz w:val="22"/>
              </w:rPr>
              <w:t>—</w:t>
            </w:r>
          </w:p>
        </w:tc>
        <w:tc>
          <w:tcPr>
            <w:tcW w:type="dxa" w:w="1728"/>
          </w:tcPr>
          <w:p>
            <w:r>
              <w:rPr>
                <w:rFonts w:ascii="Calibri" w:hAnsi="Calibri"/>
                <w:sz w:val="22"/>
              </w:rPr>
              <w:t>$0.81</w:t>
            </w:r>
          </w:p>
        </w:tc>
        <w:tc>
          <w:tcPr>
            <w:tcW w:type="dxa" w:w="1728"/>
          </w:tcPr>
          <w:p>
            <w:r>
              <w:rPr>
                <w:rFonts w:ascii="Calibri" w:hAnsi="Calibri"/>
                <w:sz w:val="22"/>
              </w:rPr>
              <w:t>Consensus sits ~$0.01 above top of guidance range; slight upside tension.</w:t>
            </w:r>
          </w:p>
        </w:tc>
      </w:tr>
      <w:tr>
        <w:tc>
          <w:tcPr>
            <w:tcW w:type="dxa" w:w="1728"/>
          </w:tcPr>
          <w:p>
            <w:r>
              <w:rPr>
                <w:rFonts w:ascii="Calibri" w:hAnsi="Calibri"/>
                <w:sz w:val="22"/>
              </w:rPr>
              <w:t>Long-Term EPS Growth Target</w:t>
            </w:r>
          </w:p>
        </w:tc>
        <w:tc>
          <w:tcPr>
            <w:tcW w:type="dxa" w:w="1728"/>
          </w:tcPr>
          <w:p>
            <w:r>
              <w:rPr>
                <w:rFonts w:ascii="Calibri" w:hAnsi="Calibri"/>
                <w:sz w:val="22"/>
              </w:rPr>
              <w:t>6–8%+ through 2030 off $4.24 midpoint; &gt;8% annually beginning 2028</w:t>
            </w:r>
          </w:p>
        </w:tc>
        <w:tc>
          <w:tcPr>
            <w:tcW w:type="dxa" w:w="1728"/>
          </w:tcPr>
          <w:p>
            <w:r>
              <w:rPr>
                <w:rFonts w:ascii="Calibri" w:hAnsi="Calibri"/>
                <w:sz w:val="22"/>
              </w:rPr>
              <w:t>—</w:t>
            </w:r>
          </w:p>
        </w:tc>
        <w:tc>
          <w:tcPr>
            <w:tcW w:type="dxa" w:w="1728"/>
          </w:tcPr>
          <w:p>
            <w:r>
              <w:rPr>
                <w:rFonts w:ascii="Calibri" w:hAnsi="Calibri"/>
                <w:sz w:val="22"/>
              </w:rPr>
              <w:t>FY2027 consensus $4.57</w:t>
            </w:r>
          </w:p>
        </w:tc>
        <w:tc>
          <w:tcPr>
            <w:tcW w:type="dxa" w:w="1728"/>
          </w:tcPr>
          <w:p>
            <w:r>
              <w:rPr>
                <w:rFonts w:ascii="Calibri" w:hAnsi="Calibri"/>
                <w:sz w:val="22"/>
              </w:rPr>
              <w:t>Raised from prior 6% floor; upward bias from ESA additions.</w:t>
            </w:r>
          </w:p>
        </w:tc>
      </w:tr>
      <w:tr>
        <w:tc>
          <w:tcPr>
            <w:tcW w:type="dxa" w:w="1728"/>
          </w:tcPr>
          <w:p>
            <w:r>
              <w:rPr>
                <w:rFonts w:ascii="Calibri" w:hAnsi="Calibri"/>
                <w:sz w:val="22"/>
              </w:rPr>
              <w:t>Retail Load Growth (Annual)</w:t>
            </w:r>
          </w:p>
        </w:tc>
        <w:tc>
          <w:tcPr>
            <w:tcW w:type="dxa" w:w="1728"/>
          </w:tcPr>
          <w:p>
            <w:r>
              <w:rPr>
                <w:rFonts w:ascii="Calibri" w:hAnsi="Calibri"/>
                <w:sz w:val="22"/>
              </w:rPr>
              <w:t>7–8% annually through 2030 (raised from 6%)</w:t>
            </w:r>
          </w:p>
        </w:tc>
        <w:tc>
          <w:tcPr>
            <w:tcW w:type="dxa" w:w="1728"/>
          </w:tcPr>
          <w:p>
            <w:r>
              <w:rPr>
                <w:rFonts w:ascii="Calibri" w:hAnsi="Calibri"/>
                <w:sz w:val="22"/>
              </w:rPr>
              <w:t>—</w:t>
            </w:r>
          </w:p>
        </w:tc>
        <w:tc>
          <w:tcPr>
            <w:tcW w:type="dxa" w:w="1728"/>
          </w:tcPr>
          <w:p>
            <w:r>
              <w:rPr>
                <w:rFonts w:ascii="Calibri" w:hAnsi="Calibri"/>
                <w:sz w:val="22"/>
              </w:rPr>
              <w:t>N/A — not a consensus-tracked KPI</w:t>
            </w:r>
          </w:p>
        </w:tc>
        <w:tc>
          <w:tcPr>
            <w:tcW w:type="dxa" w:w="1728"/>
          </w:tcPr>
          <w:p>
            <w:r>
              <w:rPr>
                <w:rFonts w:ascii="Calibri" w:hAnsi="Calibri"/>
                <w:sz w:val="22"/>
              </w:rPr>
              <w:t>↑ Raised at Q1 2026 earnings; reflects 5 signed ESAs + Panasonic ramp.</w:t>
            </w:r>
          </w:p>
        </w:tc>
      </w:tr>
      <w:tr>
        <w:tc>
          <w:tcPr>
            <w:tcW w:type="dxa" w:w="1728"/>
          </w:tcPr>
          <w:p>
            <w:r>
              <w:rPr>
                <w:rFonts w:ascii="Calibri" w:hAnsi="Calibri"/>
                <w:sz w:val="22"/>
              </w:rPr>
              <w:t>Rate Base CAGR (5-Year)</w:t>
            </w:r>
          </w:p>
        </w:tc>
        <w:tc>
          <w:tcPr>
            <w:tcW w:type="dxa" w:w="1728"/>
          </w:tcPr>
          <w:p>
            <w:r>
              <w:rPr>
                <w:rFonts w:ascii="Calibri" w:hAnsi="Calibri"/>
                <w:sz w:val="22"/>
              </w:rPr>
              <w:t>~12% (raised from ~11.5%)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2026 earnings; driven by IRP preferred plan upside.</w:t>
            </w:r>
          </w:p>
        </w:tc>
      </w:tr>
      <w:tr>
        <w:tc>
          <w:tcPr>
            <w:tcW w:type="dxa" w:w="1728"/>
          </w:tcPr>
          <w:p>
            <w:r>
              <w:rPr>
                <w:rFonts w:ascii="Calibri" w:hAnsi="Calibri"/>
                <w:sz w:val="22"/>
              </w:rPr>
              <w:t>Equity Issuance Plan</w:t>
            </w:r>
          </w:p>
        </w:tc>
        <w:tc>
          <w:tcPr>
            <w:tcW w:type="dxa" w:w="1728"/>
          </w:tcPr>
          <w:p>
            <w:r>
              <w:rPr>
                <w:rFonts w:ascii="Calibri" w:hAnsi="Calibri"/>
                <w:sz w:val="22"/>
              </w:rPr>
              <w:t>$700M–$900M/year 2026–2029 via ATM; no block issuance; no equity needs in 2030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$125M already priced in 2026. Management flagged potential to moderate equity needs by hundreds of millions as ESA cash flows materialize.</w:t>
            </w:r>
          </w:p>
        </w:tc>
      </w:tr>
      <w:tr>
        <w:tc>
          <w:tcPr>
            <w:tcW w:type="dxa" w:w="1728"/>
          </w:tcPr>
          <w:p>
            <w:r>
              <w:rPr>
                <w:rFonts w:ascii="Calibri" w:hAnsi="Calibri"/>
                <w:sz w:val="22"/>
              </w:rPr>
              <w:t>FFO/Debt Target</w:t>
            </w:r>
          </w:p>
        </w:tc>
        <w:tc>
          <w:tcPr>
            <w:tcW w:type="dxa" w:w="1728"/>
          </w:tcPr>
          <w:p>
            <w:r>
              <w:rPr>
                <w:rFonts w:ascii="Calibri" w:hAnsi="Calibri"/>
                <w:sz w:val="22"/>
              </w:rPr>
              <w:t>14–15% range 2026–2028; strengthening thereafter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Improved from prior ~14% estimate; reflects nuclear PTC flowback impact in Kansas.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stable-to-slightly-higher since the Q1 2026 print — FY2026 EPS consensus edged up ~$0.02 and Q2 2026 EPS consensus moved down modestly from $0.84 to $0.81, suggesting the market absorbed the Q2 guidance range and trimmed slightly; FY2027 estimates are also marginally higher, consistent with the raised long-term growth trajectory.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2026 Earnings (as of May 12,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$0.843</w:t>
            </w:r>
          </w:p>
        </w:tc>
        <w:tc>
          <w:tcPr>
            <w:tcW w:type="dxa" w:w="1080"/>
          </w:tcPr>
          <w:p>
            <w:r>
              <w:rPr>
                <w:rFonts w:ascii="Calibri" w:hAnsi="Calibri"/>
                <w:sz w:val="22"/>
              </w:rPr>
              <w:t>$0.812</w:t>
            </w:r>
          </w:p>
        </w:tc>
        <w:tc>
          <w:tcPr>
            <w:tcW w:type="dxa" w:w="1080"/>
          </w:tcPr>
          <w:p>
            <w:r>
              <w:rPr>
                <w:rFonts w:ascii="Calibri" w:hAnsi="Calibri"/>
                <w:b/>
                <w:color w:val="E5484D"/>
                <w:sz w:val="22"/>
              </w:rPr>
              <w:t>-3.7%</w:t>
            </w:r>
          </w:p>
        </w:tc>
        <w:tc>
          <w:tcPr>
            <w:tcW w:type="dxa" w:w="1080"/>
          </w:tcPr>
          <w:p>
            <w:r>
              <w:rPr>
                <w:rFonts w:ascii="Calibri" w:hAnsi="Calibri"/>
                <w:sz w:val="22"/>
              </w:rPr>
              <w:t>17–19% of $4.24 (~$0.72–$0.80)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above midpoint (~$0.76)</w:t>
            </w:r>
          </w:p>
        </w:tc>
      </w:tr>
      <w:tr>
        <w:tc>
          <w:tcPr>
            <w:tcW w:type="dxa" w:w="1080"/>
          </w:tcPr>
          <w:p>
            <w:r>
              <w:rPr>
                <w:rFonts w:ascii="Calibri" w:hAnsi="Calibri"/>
                <w:sz w:val="22"/>
              </w:rPr>
              <w:t>Adj. EPS — FY2026</w:t>
            </w:r>
          </w:p>
        </w:tc>
        <w:tc>
          <w:tcPr>
            <w:tcW w:type="dxa" w:w="1080"/>
          </w:tcPr>
          <w:p>
            <w:r>
              <w:rPr>
                <w:rFonts w:ascii="Calibri" w:hAnsi="Calibri"/>
                <w:sz w:val="22"/>
              </w:rPr>
              <w:t>$4.216</w:t>
            </w:r>
          </w:p>
        </w:tc>
        <w:tc>
          <w:tcPr>
            <w:tcW w:type="dxa" w:w="1080"/>
          </w:tcPr>
          <w:p>
            <w:r>
              <w:rPr>
                <w:rFonts w:ascii="Calibri" w:hAnsi="Calibri"/>
                <w:sz w:val="22"/>
              </w:rPr>
              <w:t>$4.235</w:t>
            </w:r>
          </w:p>
        </w:tc>
        <w:tc>
          <w:tcPr>
            <w:tcW w:type="dxa" w:w="1080"/>
          </w:tcPr>
          <w:p>
            <w:r>
              <w:rPr>
                <w:rFonts w:ascii="Calibri" w:hAnsi="Calibri"/>
                <w:b/>
                <w:color w:val="30A46C"/>
                <w:sz w:val="22"/>
              </w:rPr>
              <w:t>+0.5%</w:t>
            </w:r>
          </w:p>
        </w:tc>
        <w:tc>
          <w:tcPr>
            <w:tcW w:type="dxa" w:w="1080"/>
          </w:tcPr>
          <w:p>
            <w:r>
              <w:rPr>
                <w:rFonts w:ascii="Calibri" w:hAnsi="Calibri"/>
                <w:sz w:val="22"/>
              </w:rPr>
              <w:t>$4.14–$4.34 (midpoint $4.24)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Adj. EPS — FY2027</w:t>
            </w:r>
          </w:p>
        </w:tc>
        <w:tc>
          <w:tcPr>
            <w:tcW w:type="dxa" w:w="1080"/>
          </w:tcPr>
          <w:p>
            <w:r>
              <w:rPr>
                <w:rFonts w:ascii="Calibri" w:hAnsi="Calibri"/>
                <w:sz w:val="22"/>
              </w:rPr>
              <w:t>$4.534</w:t>
            </w:r>
          </w:p>
        </w:tc>
        <w:tc>
          <w:tcPr>
            <w:tcW w:type="dxa" w:w="1080"/>
          </w:tcPr>
          <w:p>
            <w:r>
              <w:rPr>
                <w:rFonts w:ascii="Calibri" w:hAnsi="Calibri"/>
                <w:sz w:val="22"/>
              </w:rPr>
              <w:t>$4.567</w:t>
            </w:r>
          </w:p>
        </w:tc>
        <w:tc>
          <w:tcPr>
            <w:tcW w:type="dxa" w:w="1080"/>
          </w:tcPr>
          <w:p>
            <w:r>
              <w:rPr>
                <w:rFonts w:ascii="Calibri" w:hAnsi="Calibri"/>
                <w:b/>
                <w:color w:val="30A46C"/>
                <w:sz w:val="22"/>
              </w:rPr>
              <w:t>+0.7%</w:t>
            </w:r>
          </w:p>
        </w:tc>
        <w:tc>
          <w:tcPr>
            <w:tcW w:type="dxa" w:w="1080"/>
          </w:tcPr>
          <w:p>
            <w:r>
              <w:rPr>
                <w:rFonts w:ascii="Calibri" w:hAnsi="Calibri"/>
                <w:sz w:val="22"/>
              </w:rPr>
              <w:t>6–8%+ growth off $4.24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Implies ~7.8% growth; within target range</w:t>
            </w:r>
          </w:p>
        </w:tc>
      </w:tr>
      <w:tr>
        <w:tc>
          <w:tcPr>
            <w:tcW w:type="dxa" w:w="1080"/>
          </w:tcPr>
          <w:p>
            <w:r>
              <w:rPr>
                <w:rFonts w:ascii="Calibri" w:hAnsi="Calibri"/>
                <w:sz w:val="22"/>
              </w:rPr>
              <w:t>Total Revenue — Q2 2026</w:t>
            </w:r>
          </w:p>
        </w:tc>
        <w:tc>
          <w:tcPr>
            <w:tcW w:type="dxa" w:w="1080"/>
          </w:tcPr>
          <w:p>
            <w:r>
              <w:rPr>
                <w:rFonts w:ascii="Calibri" w:hAnsi="Calibri"/>
                <w:sz w:val="22"/>
              </w:rPr>
              <w:t>$1,395.2M</w:t>
            </w:r>
          </w:p>
        </w:tc>
        <w:tc>
          <w:tcPr>
            <w:tcW w:type="dxa" w:w="1080"/>
          </w:tcPr>
          <w:p>
            <w:r>
              <w:rPr>
                <w:rFonts w:ascii="Calibri" w:hAnsi="Calibri"/>
                <w:sz w:val="22"/>
              </w:rPr>
              <w:t>$1,453.5M</w:t>
            </w:r>
          </w:p>
        </w:tc>
        <w:tc>
          <w:tcPr>
            <w:tcW w:type="dxa" w:w="1080"/>
          </w:tcPr>
          <w:p>
            <w:r>
              <w:rPr>
                <w:rFonts w:ascii="Calibri" w:hAnsi="Calibri"/>
                <w:b/>
                <w:color w:val="30A46C"/>
                <w:sz w:val="22"/>
              </w:rPr>
              <w:t>+4.2%</w:t>
            </w:r>
          </w:p>
        </w:tc>
        <w:tc>
          <w:tcPr>
            <w:tcW w:type="dxa" w:w="1080"/>
          </w:tcPr>
          <w:p>
            <w:r>
              <w:rPr>
                <w:rFonts w:ascii="Calibri" w:hAnsi="Calibri"/>
                <w:sz w:val="22"/>
              </w:rPr>
              <w:t>No explicit Q2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$6,214.3M</w:t>
            </w:r>
          </w:p>
        </w:tc>
        <w:tc>
          <w:tcPr>
            <w:tcW w:type="dxa" w:w="1080"/>
          </w:tcPr>
          <w:p>
            <w:r>
              <w:rPr>
                <w:rFonts w:ascii="Calibri" w:hAnsi="Calibri"/>
                <w:sz w:val="22"/>
              </w:rPr>
              <w:t>$6,238.6M</w:t>
            </w:r>
          </w:p>
        </w:tc>
        <w:tc>
          <w:tcPr>
            <w:tcW w:type="dxa" w:w="1080"/>
          </w:tcPr>
          <w:p>
            <w:r>
              <w:rPr>
                <w:rFonts w:ascii="Calibri" w:hAnsi="Calibri"/>
                <w:b/>
                <w:color w:val="30A46C"/>
                <w:sz w:val="22"/>
              </w:rPr>
              <w:t>+0.4%</w:t>
            </w:r>
          </w:p>
        </w:tc>
        <w:tc>
          <w:tcPr>
            <w:tcW w:type="dxa" w:w="1080"/>
          </w:tcPr>
          <w:p>
            <w:r>
              <w:rPr>
                <w:rFonts w:ascii="Calibri" w:hAnsi="Calibri"/>
                <w:sz w:val="22"/>
              </w:rPr>
              <w:t>No explicit FY revenue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color w:val="525866"/>
          <w:sz w:val="22"/>
        </w:rPr>
        <w:t>The modest Q2 EPS estimate trim (from $0.84 to $0.81) post-Q1 print reflects the market digesting management’s explicit Q2 guidance range of $0.72–$0.80; the fact that consensus still sits above the top of that range suggests analysts are embedding some ESA revenue upside. FY2026 and FY2027 estimates have drifted slightly higher, consistent with the raised load growth and rate base CAGR disclosures — revisions are tracking guidance rather than diverging, which is a constructive signal.</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EVRG has significantly outperformed XLU since the Q1 2026 earnings date, rising ~0.4% vs. XLU’s -3.2% decline, driven by the differentiated large-load growth narrative and ESA momentum rather than multiple expansion — the stock’s relative strength reflects fundamental re-rating of the growth profile.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EVRG vs. XLU (Utilities Select Sector ETF) — Indexed to 100 at Q1 2026 Earnings Date (May 7, 2026). Source: Yahoo Finance / Stock Price Data.</w:t>
      </w:r>
    </w:p>
    <w:p>
      <w:r>
        <w:rPr>
          <w:rFonts w:ascii="Calibri" w:hAnsi="Calibri"/>
          <w:color w:val="525866"/>
          <w:sz w:val="22"/>
        </w:rPr>
        <w:t xml:space="preserve">Since the Q1 2026 earnings date (May 7, 2026), EVRG closed at $83.06 on August 6, 2026 vs. $82.73 at the open of the earnings day — a gain of approximately +0.4% on an absolute basis. XLU declined approximately -3.2% over the same period (from $45.12 to $43.66). The stock reached an intraday high of approximately $88.13 on July 2, 2026, before pulling back modestly into the earnings window. The late-June rally (June 22–July 2) coincided with the announcement of the new $3.5 billion revolving credit facility (June 30) and the Evergy Kansas Central $350M bond issuance (July 1), both of which reinforced the company’s financial flexibility and capital plan execution. The subsequent pullback from the July 2 peak to current levels (~$83) appears to reflect sector-wide rate sensitivity and profit-taking ahead of the Q2 print, rather than any company-specific deterioration. </w:t>
      </w:r>
    </w:p>
    <w:p>
      <w:r>
        <w:rPr>
          <w:rFonts w:ascii="Calibri" w:hAnsi="Calibri"/>
          <w:b/>
          <w:color w:val="525866"/>
          <w:sz w:val="22"/>
        </w:rPr>
        <w:t xml:space="preserve">Sector ETF used: </w:t>
      </w:r>
      <w:r>
        <w:rPr>
          <w:rFonts w:ascii="Calibri" w:hAnsi="Calibri"/>
          <w:color w:val="525866"/>
          <w:sz w:val="22"/>
        </w:rPr>
        <w:t>XLU (Utilities Select Sector SPDR Fund) — appropriate for EVRG’s regulated electric utility sub-sector.</w:t>
      </w:r>
    </w:p>
    <w:p>
      <w:pPr>
        <w:pStyle w:val="Heading2"/>
      </w:pPr>
      <w:r>
        <w:rPr>
          <w:rFonts w:ascii="Calibri" w:hAnsi="Calibri"/>
          <w:b/>
          <w:color w:val="3B4259"/>
          <w:sz w:val="28"/>
        </w:rPr>
        <w:t>6. Peer Commentary Read-Through (Q2 2026)</w:t>
      </w:r>
    </w:p>
    <w:p>
      <w:r>
        <w:rPr>
          <w:rFonts w:ascii="Calibri" w:hAnsi="Calibri"/>
          <w:b/>
          <w:color w:val="525866"/>
          <w:sz w:val="22"/>
        </w:rPr>
        <w:t xml:space="preserve">Key Takeaway: </w:t>
      </w:r>
      <w:r>
        <w:rPr>
          <w:rFonts w:ascii="Calibri" w:hAnsi="Calibri"/>
          <w:color w:val="525866"/>
          <w:sz w:val="22"/>
        </w:rPr>
        <w:t>Q2 2026 peer earnings calls delivered a uniformly bullish read-through for EVRG — every major regulated utility reporting before EVRG confirmed accelerating data center demand, constructive large-load tariff frameworks, and expanding ESA pipelines, all of which directly validate EVRG’s core investment thesis and de-risk the Q2 print.</w:t>
      </w:r>
    </w:p>
    <w:p>
      <w:r>
        <w:rPr>
          <w:rFonts w:ascii="Calibri" w:hAnsi="Calibri"/>
          <w:color w:val="525866"/>
          <w:sz w:val="22"/>
        </w:rPr>
        <w:t>The following commentary is drawn exclusively from Q2 2026 earnings calls and investor day transcripts (reported July–August 2026) from EVRG’s utility peers. All commentary is relevant to the current reporting quarter and forward outlook — no prior-quarter results commentary is included.</w:t>
      </w:r>
    </w:p>
    <w:p>
      <w:pPr>
        <w:pStyle w:val="Heading3"/>
      </w:pPr>
      <w:r>
        <w:rPr>
          <w:rFonts w:ascii="Calibri" w:hAnsi="Calibri"/>
          <w:b/>
          <w:color w:val="3B4259"/>
          <w:sz w:val="24"/>
        </w:rPr>
        <w:t>DTE Energy (DTE) — Q2 2026 Earnings Call (July 28, 2026)</w:t>
      </w:r>
    </w:p>
    <w:p>
      <w:r>
        <w:rPr>
          <w:rFonts w:ascii="Calibri" w:hAnsi="Calibri"/>
          <w:b/>
          <w:color w:val="525866"/>
          <w:sz w:val="22"/>
        </w:rPr>
        <w:t xml:space="preserve">Read-Through: </w:t>
      </w:r>
      <w:r>
        <w:rPr>
          <w:rFonts w:ascii="Calibri" w:hAnsi="Calibri"/>
          <w:color w:val="525866"/>
          <w:sz w:val="22"/>
        </w:rPr>
        <w:t>Strongly positive. DTE confirmed 2.4 GW of executed data center agreements (1.4 GW Oracle fully approved and under construction; 1 GW Google submitted to MPSC), with 5–6 GW of additional pipeline opportunities including ~2 GW in advanced discussions and a target of reaching an additional agreement by end of 2026. DTE’s commentary that “</w:t>
      </w:r>
      <w:r>
        <w:rPr>
          <w:rFonts w:ascii="Calibri" w:hAnsi="Calibri"/>
          <w:i/>
          <w:color w:val="525866"/>
          <w:sz w:val="22"/>
        </w:rPr>
        <w:t>these data center projects bring large, steady load onto the system”</w:t>
      </w:r>
      <w:r>
        <w:rPr>
          <w:rFonts w:ascii="Calibri" w:hAnsi="Calibri"/>
          <w:color w:val="525866"/>
          <w:sz w:val="22"/>
        </w:rPr>
        <w:t xml:space="preserve"> and that Oracle construction is “</w:t>
      </w:r>
      <w:r>
        <w:rPr>
          <w:rFonts w:ascii="Calibri" w:hAnsi="Calibri"/>
          <w:i/>
          <w:color w:val="525866"/>
          <w:sz w:val="22"/>
        </w:rPr>
        <w:t>proceeding as planned with all positive indicators for a fast ramp”</w:t>
      </w:r>
      <w:r>
        <w:rPr>
          <w:rFonts w:ascii="Calibri" w:hAnsi="Calibri"/>
          <w:color w:val="525866"/>
          <w:sz w:val="22"/>
        </w:rPr>
        <w:t xml:space="preserve"> directly validates EVRG’s own data center ramp narrative. DTE’s large load tariff is moving through the approval process — a constructive regulatory read-through for EVRG’s already-approved LLPS tariff. DTE also noted its IRP (expected Q3 2026) will incorporate both signed contracts and the full pipeline — consistent with EVRG’s own IRP filing cadence.</w:t>
      </w:r>
    </w:p>
    <w:p>
      <w:pPr>
        <w:pStyle w:val="Heading3"/>
      </w:pPr>
      <w:r>
        <w:rPr>
          <w:rFonts w:ascii="Calibri" w:hAnsi="Calibri"/>
          <w:b/>
          <w:color w:val="3B4259"/>
          <w:sz w:val="24"/>
        </w:rPr>
        <w:t>Xcel Energy (XEL) — Q2 2026 Earnings Call (July 30, 2026)</w:t>
      </w:r>
    </w:p>
    <w:p>
      <w:r>
        <w:rPr>
          <w:rFonts w:ascii="Calibri" w:hAnsi="Calibri"/>
          <w:b/>
          <w:color w:val="525866"/>
          <w:sz w:val="22"/>
        </w:rPr>
        <w:t xml:space="preserve">Read-Through: </w:t>
      </w:r>
      <w:r>
        <w:rPr>
          <w:rFonts w:ascii="Calibri" w:hAnsi="Calibri"/>
          <w:color w:val="525866"/>
          <w:sz w:val="22"/>
        </w:rPr>
        <w:t>Strongly positive. XEL reported 1 GW of data centers in operation or under construction, 1 GW under signed ESAs, and expects to secure an additional 4 GW by year-end 2027 (including at least 1 GW by year-end 2026). XEL’s observation that “</w:t>
      </w:r>
      <w:r>
        <w:rPr>
          <w:rFonts w:ascii="Calibri" w:hAnsi="Calibri"/>
          <w:i/>
          <w:color w:val="525866"/>
          <w:sz w:val="22"/>
        </w:rPr>
        <w:t>for every gigawatt of a data center, you’re looking at something like $5 to $6 billion of investments on the generation side”</w:t>
      </w:r>
      <w:r>
        <w:rPr>
          <w:rFonts w:ascii="Calibri" w:hAnsi="Calibri"/>
          <w:color w:val="525866"/>
          <w:sz w:val="22"/>
        </w:rPr>
        <w:t xml:space="preserve"> quantifies the capital opportunity that EVRG is also pursuing. XEL’s large load tariffs were recently approved in Minnesota and filed in Colorado and Wisconsin — a positive read-through for the regulatory durability of EVRG’s LLPS tariff. XEL also noted weather-adjusted electric sales grew 2.1% YTD with a 3% full-year target, consistent with EVRG’s 3–4% full-year load growth guidance.</w:t>
      </w:r>
    </w:p>
    <w:p>
      <w:pPr>
        <w:pStyle w:val="Heading3"/>
      </w:pPr>
      <w:r>
        <w:rPr>
          <w:rFonts w:ascii="Calibri" w:hAnsi="Calibri"/>
          <w:b/>
          <w:color w:val="3B4259"/>
          <w:sz w:val="24"/>
        </w:rPr>
        <w:t>Ameren (AEE) — Q2 2026 Earnings Call (July 31, 2026)</w:t>
      </w:r>
    </w:p>
    <w:p>
      <w:r>
        <w:rPr>
          <w:rFonts w:ascii="Calibri" w:hAnsi="Calibri"/>
          <w:b/>
          <w:color w:val="525866"/>
          <w:sz w:val="22"/>
        </w:rPr>
        <w:t xml:space="preserve">Read-Through: </w:t>
      </w:r>
      <w:r>
        <w:rPr>
          <w:rFonts w:ascii="Calibri" w:hAnsi="Calibri"/>
          <w:color w:val="525866"/>
          <w:sz w:val="22"/>
        </w:rPr>
        <w:t>Positive, with a Missouri-specific angle directly relevant to EVRG. AEE reported 2.8 GW of signed ESAs in Missouri (including Google and Amazon groundbreakings), with 4 GW of additional projects having completed interconnection studies. AEE’s commentary that Missouri Senate Bill 4 requires large load customers to pay 100% of power and infrastructure costs driven by their operations is a direct regulatory read-through for EVRG’s Missouri service territory. AEE noted that “</w:t>
      </w:r>
      <w:r>
        <w:rPr>
          <w:rFonts w:ascii="Calibri" w:hAnsi="Calibri"/>
          <w:i/>
          <w:color w:val="525866"/>
          <w:sz w:val="22"/>
        </w:rPr>
        <w:t>it’s about land availability and speed to power”</w:t>
      </w:r>
      <w:r>
        <w:rPr>
          <w:rFonts w:ascii="Calibri" w:hAnsi="Calibri"/>
          <w:color w:val="525866"/>
          <w:sz w:val="22"/>
        </w:rPr>
        <w:t xml:space="preserve"> as the key gating factors for data center growth — consistent with EVRG’s positioning. AEE plans to update its sales, capital, and long-term earnings growth expectations on its Q3 call, suggesting further upward revisions to the Missouri utility growth outlook that could benefit EVRG’s Missouri rate case narrative.</w:t>
      </w:r>
    </w:p>
    <w:p>
      <w:pPr>
        <w:pStyle w:val="Heading3"/>
      </w:pPr>
      <w:r>
        <w:rPr>
          <w:rFonts w:ascii="Calibri" w:hAnsi="Calibri"/>
          <w:b/>
          <w:color w:val="3B4259"/>
          <w:sz w:val="24"/>
        </w:rPr>
        <w:t>CMS Energy (CMS) — Q2 2026 Earnings Call (July 28, 2026)</w:t>
      </w:r>
    </w:p>
    <w:p>
      <w:r>
        <w:rPr>
          <w:rFonts w:ascii="Calibri" w:hAnsi="Calibri"/>
          <w:b/>
          <w:color w:val="525866"/>
          <w:sz w:val="22"/>
        </w:rPr>
        <w:t xml:space="preserve">Read-Through: </w:t>
      </w:r>
      <w:r>
        <w:rPr>
          <w:rFonts w:ascii="Calibri" w:hAnsi="Calibri"/>
          <w:color w:val="525866"/>
          <w:sz w:val="22"/>
        </w:rPr>
        <w:t>Positive. CMS reached an agreement under its large load tariff (including both an Extraordinary Facilities Agreement and a rate agreement), describing it as “</w:t>
      </w:r>
      <w:r>
        <w:rPr>
          <w:rFonts w:ascii="Calibri" w:hAnsi="Calibri"/>
          <w:i/>
          <w:color w:val="525866"/>
          <w:sz w:val="22"/>
        </w:rPr>
        <w:t>one of the most constructive frameworks in the country for data center growth.”</w:t>
      </w:r>
      <w:r>
        <w:rPr>
          <w:rFonts w:ascii="Calibri" w:hAnsi="Calibri"/>
          <w:color w:val="525866"/>
          <w:sz w:val="22"/>
        </w:rPr>
        <w:t xml:space="preserve"> CMS’s tariff ensures new large load customers bear all costs to serve them, with an illustrative benefit of ~$7.50/month per residential customer per gigawatt of new large load — a customer affordability narrative that mirrors EVRG’s own LLPS tariff messaging. CMS also contracted ~135 MW of manufacturing and industrial load YTD, reflecting broad-based demand growth beyond just hyperscalers. CMS moved its IRP filing to September to incorporate the data center agreement.</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Read-Through: </w:t>
      </w:r>
      <w:r>
        <w:rPr>
          <w:rFonts w:ascii="Calibri" w:hAnsi="Calibri"/>
          <w:color w:val="525866"/>
          <w:sz w:val="22"/>
        </w:rPr>
        <w:t>Broadly positive for the sector. NEE updated its FPL large load expectations from 6 GW to 8 GW by 2032, with ~21 GW of large load interest at FPL and advanced discussions on 12 GW. NEE’s Energy Resources segment added 3.6 GW of renewables and storage to its backlog in Q2 alone. NEE noted that “</w:t>
      </w:r>
      <w:r>
        <w:rPr>
          <w:rFonts w:ascii="Calibri" w:hAnsi="Calibri"/>
          <w:i/>
          <w:color w:val="525866"/>
          <w:sz w:val="22"/>
        </w:rPr>
        <w:t>every gigawatt of large load under FPL’s approved tariff is equivalent to roughly $2 billion of CapEx”</w:t>
      </w:r>
      <w:r>
        <w:rPr>
          <w:rFonts w:ascii="Calibri" w:hAnsi="Calibri"/>
          <w:color w:val="525866"/>
          <w:sz w:val="22"/>
        </w:rPr>
        <w:t xml:space="preserve"> — a capital intensity benchmark that contextualizes EVRG’s own $21.6B capital plan. NEE and Dominion also announced support for the White House’s Ratepayer Protection Pledge, reinforcing the principle that large load customers pay their fair share — a regulatory tailwind for EVRG’s LLPS tariff framework.</w:t>
      </w:r>
    </w:p>
    <w:p>
      <w:pPr>
        <w:pStyle w:val="Heading3"/>
      </w:pPr>
      <w:r>
        <w:rPr>
          <w:rFonts w:ascii="Calibri" w:hAnsi="Calibri"/>
          <w:b/>
          <w:color w:val="3B4259"/>
          <w:sz w:val="24"/>
        </w:rPr>
        <w:t>Dominion Energy (D) — Q2 2026 Earnings Call (July 31, 2026)</w:t>
      </w:r>
    </w:p>
    <w:p>
      <w:r>
        <w:rPr>
          <w:rFonts w:ascii="Calibri" w:hAnsi="Calibri"/>
          <w:b/>
          <w:color w:val="525866"/>
          <w:sz w:val="22"/>
        </w:rPr>
        <w:t xml:space="preserve">Read-Through: </w:t>
      </w:r>
      <w:r>
        <w:rPr>
          <w:rFonts w:ascii="Calibri" w:hAnsi="Calibri"/>
          <w:color w:val="525866"/>
          <w:sz w:val="22"/>
        </w:rPr>
        <w:t>Positive for demand durability. Dominion reported over 53 GW of data center capacity in various stages of contracting (including ~12 GW under electric service agreements), adding over 5 GW of contracts since year-end 2025. Dominion noted that “</w:t>
      </w:r>
      <w:r>
        <w:rPr>
          <w:rFonts w:ascii="Calibri" w:hAnsi="Calibri"/>
          <w:i/>
          <w:color w:val="525866"/>
          <w:sz w:val="22"/>
        </w:rPr>
        <w:t>nine of the Dom zone’s top ten all-time peak days have occurred this year”</w:t>
      </w:r>
      <w:r>
        <w:rPr>
          <w:rFonts w:ascii="Calibri" w:hAnsi="Calibri"/>
          <w:color w:val="525866"/>
          <w:sz w:val="22"/>
        </w:rPr>
        <w:t xml:space="preserve"> — a powerful indicator of the structural demand acceleration that EVRG is also experiencing. Dominion’s “all of the above approach to energy supply” and filing of air permits for two new natural gas combined cycle plants (~5 GW combined) reflects the generation buildout imperative that EVRG is also executing through its IRP process.</w:t>
      </w:r>
    </w:p>
    <w:p>
      <w:pPr>
        <w:pStyle w:val="Heading3"/>
      </w:pPr>
      <w:r>
        <w:rPr>
          <w:rFonts w:ascii="Calibri" w:hAnsi="Calibri"/>
          <w:b/>
          <w:color w:val="3B4259"/>
          <w:sz w:val="24"/>
        </w:rPr>
        <w:t>WEC Energy Group (WEC) — Q2 2026 Earnings Call (July 29, 2026)</w:t>
      </w:r>
    </w:p>
    <w:p>
      <w:r>
        <w:rPr>
          <w:rFonts w:ascii="Calibri" w:hAnsi="Calibri"/>
          <w:b/>
          <w:color w:val="525866"/>
          <w:sz w:val="22"/>
        </w:rPr>
        <w:t xml:space="preserve">Read-Through: </w:t>
      </w:r>
      <w:r>
        <w:rPr>
          <w:rFonts w:ascii="Calibri" w:hAnsi="Calibri"/>
          <w:color w:val="525866"/>
          <w:sz w:val="22"/>
        </w:rPr>
        <w:t xml:space="preserve">Positive, with a notable Oracle credit risk nuance. WEC reported weather-normalized electric retail sales growth of 4.2% in Q2 2026, driven by Very Large Customers (VLCs) — directly comparable to EVRG’s own large-load demand growth. WEC’s Microsoft site (first facility fully operational) and Vantage/Oracle site (construction ongoing, first facility potentially online late 2027) are progressing as planned. WEC’s $37.5B five-year capital plan with ~15% of asset base dedicated to VLCs by 2030 mirrors EVRG’s capital intensity trajectory. </w:t>
      </w:r>
    </w:p>
    <w:p>
      <w:r>
        <w:rPr>
          <w:rFonts w:ascii="Calibri" w:hAnsi="Calibri"/>
          <w:b/>
          <w:color w:val="525866"/>
          <w:sz w:val="22"/>
        </w:rPr>
        <w:t xml:space="preserve">Nuance: </w:t>
      </w:r>
      <w:r>
        <w:rPr>
          <w:rFonts w:ascii="Calibri" w:hAnsi="Calibri"/>
          <w:color w:val="525866"/>
          <w:sz w:val="22"/>
        </w:rPr>
        <w:t>WEC flagged that Oracle’s credit rating (BBB-) triggers collateral requirements under the VLC tariff, and Oracle has a legal challenge in court regarding these requirements. While this is WEC-specific, it highlights a broader sector risk around hyperscaler credit quality that investors may probe on EVRG’s call regarding its own ESA counterparty protections.</w:t>
      </w:r>
    </w:p>
    <w:p>
      <w:pPr>
        <w:pStyle w:val="Heading3"/>
      </w:pPr>
      <w:r>
        <w:rPr>
          <w:rFonts w:ascii="Calibri" w:hAnsi="Calibri"/>
          <w:b/>
          <w:color w:val="3B4259"/>
          <w:sz w:val="24"/>
        </w:rPr>
        <w:t>CenterPoint Energy (CNP) — Q2 2026 Earnings Call (July 28, 2026)</w:t>
      </w:r>
    </w:p>
    <w:p>
      <w:r>
        <w:rPr>
          <w:rFonts w:ascii="Calibri" w:hAnsi="Calibri"/>
          <w:b/>
          <w:color w:val="525866"/>
          <w:sz w:val="22"/>
        </w:rPr>
        <w:t xml:space="preserve">Read-Through: </w:t>
      </w:r>
      <w:r>
        <w:rPr>
          <w:rFonts w:ascii="Calibri" w:hAnsi="Calibri"/>
          <w:color w:val="525866"/>
          <w:sz w:val="22"/>
        </w:rPr>
        <w:t>Positive for large-load demand durability. CNP reported 14 GW of projects eligible for ERCOT’s Batch Zero process (representing &gt;65% increase in system peak demand) and raised its capital plan by $1.2B. CNP’s statement that “</w:t>
      </w:r>
      <w:r>
        <w:rPr>
          <w:rFonts w:ascii="Calibri" w:hAnsi="Calibri"/>
          <w:i/>
          <w:color w:val="525866"/>
          <w:sz w:val="22"/>
        </w:rPr>
        <w:t>we see no indication that growth is slowing here in Texas”</w:t>
      </w:r>
      <w:r>
        <w:rPr>
          <w:rFonts w:ascii="Calibri" w:hAnsi="Calibri"/>
          <w:color w:val="525866"/>
          <w:sz w:val="22"/>
        </w:rPr>
        <w:t xml:space="preserve"> and its confidence in achieving 50% load growth by year-end 2029 reinforces the structural nature of the data center demand wave. CNP’s ability to connect large loads at “</w:t>
      </w:r>
      <w:r>
        <w:rPr>
          <w:rFonts w:ascii="Calibri" w:hAnsi="Calibri"/>
          <w:i/>
          <w:color w:val="525866"/>
          <w:sz w:val="22"/>
        </w:rPr>
        <w:t>less than $60 million per gigawatt”</w:t>
      </w:r>
      <w:r>
        <w:rPr>
          <w:rFonts w:ascii="Calibri" w:hAnsi="Calibri"/>
          <w:color w:val="525866"/>
          <w:sz w:val="22"/>
        </w:rPr>
        <w:t xml:space="preserve"> due to existing hosting capacity is a useful benchmark for EVRG’s own infrastructure efficiency narrative.</w:t>
      </w:r>
    </w:p>
    <w:p>
      <w:pPr>
        <w:pStyle w:val="Heading3"/>
      </w:pPr>
      <w:r>
        <w:rPr>
          <w:rFonts w:ascii="Calibri" w:hAnsi="Calibri"/>
          <w:b/>
          <w:color w:val="3B4259"/>
          <w:sz w:val="24"/>
        </w:rPr>
        <w:t>Entergy (ETR) — Q2 2026 Earnings Call (July 29, 2026) &amp; Investor Day (June 9, 2026)</w:t>
      </w:r>
    </w:p>
    <w:p>
      <w:r>
        <w:rPr>
          <w:rFonts w:ascii="Calibri" w:hAnsi="Calibri"/>
          <w:b/>
          <w:color w:val="525866"/>
          <w:sz w:val="22"/>
        </w:rPr>
        <w:t xml:space="preserve">Read-Through: </w:t>
      </w:r>
      <w:r>
        <w:rPr>
          <w:rFonts w:ascii="Calibri" w:hAnsi="Calibri"/>
          <w:color w:val="525866"/>
          <w:sz w:val="22"/>
        </w:rPr>
        <w:t>Strongly positive for the structural demand thesis. ETR reported 10% industrial sales growth in Q2 2026 and maintained its 7–12 GW hyperscale data center pipeline. At its June 9 Investor Day, ETR disclosed that its ESA backlog has “</w:t>
      </w:r>
      <w:r>
        <w:rPr>
          <w:rFonts w:ascii="Calibri" w:hAnsi="Calibri"/>
          <w:i/>
          <w:color w:val="525866"/>
          <w:sz w:val="22"/>
        </w:rPr>
        <w:t>grown by nearly double”</w:t>
      </w:r>
      <w:r>
        <w:rPr>
          <w:rFonts w:ascii="Calibri" w:hAnsi="Calibri"/>
          <w:color w:val="525866"/>
          <w:sz w:val="22"/>
        </w:rPr>
        <w:t xml:space="preserve"> in two years, with total retail sales expected to increase over 50% over the next five years and a $67B five-year capital plan (doubled from two years ago). ETR’s “Fair Share Plus” pledge and Louisiana Governor Landry’s executive order requiring data centers to provide customer benefits are constructive regulatory read-throughs for EVRG’s LLPS tariff. ETR’s characterization of its growth as “</w:t>
      </w:r>
      <w:r>
        <w:rPr>
          <w:rFonts w:ascii="Calibri" w:hAnsi="Calibri"/>
          <w:i/>
          <w:color w:val="525866"/>
          <w:sz w:val="22"/>
        </w:rPr>
        <w:t>unmatched in the industry”</w:t>
      </w:r>
      <w:r>
        <w:rPr>
          <w:rFonts w:ascii="Calibri" w:hAnsi="Calibri"/>
          <w:color w:val="525866"/>
          <w:sz w:val="22"/>
        </w:rPr>
        <w:t xml:space="preserve"> at 9% retail sales growth underscores the differentiated opportunity that EVRG is also pursuing, albeit at an earlier stage.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new $3.5 billion revolving credit facility (June 30), which significantly expands EVRG’s liquidity runway and financial flexibility to execute on its $21.6B capital plan — a direct positive for credit metrics and equity story heading into Q2.</w:t>
      </w:r>
    </w:p>
    <w:p>
      <w:pPr>
        <w:pStyle w:val="ListBullet"/>
        <w:ind w:left="360" w:hanging="360"/>
      </w:pPr>
      <w:r>
        <w:rPr>
          <w:rFonts w:ascii="Calibri" w:hAnsi="Calibri"/>
          <w:b/>
          <w:color w:val="525866"/>
          <w:sz w:val="22"/>
        </w:rPr>
        <w:t>July 1, 2026 — Evergy Kansas Central Issues $350M in 5.300% First Mortgage Bonds due 2036.</w:t>
      </w:r>
      <w:r>
        <w:rPr>
          <w:rFonts w:ascii="Calibri" w:hAnsi="Calibri"/>
          <w:color w:val="525866"/>
          <w:sz w:val="22"/>
        </w:rPr>
        <w:t xml:space="preserve"> Proceeds support the capital plan. Demonstrates continued access to investment-grade debt markets at manageable rates. Underwriters included Barclays, Goldman Sachs, BNY Mellon, and U.S. Bancorp. Implication: Confirms capital markets access for the heavy infrastructure buildout phase; no credit stress signals.</w:t>
      </w:r>
    </w:p>
    <w:p>
      <w:pPr>
        <w:pStyle w:val="ListBullet"/>
        <w:ind w:left="360" w:hanging="360"/>
      </w:pPr>
      <w:r>
        <w:rPr>
          <w:rFonts w:ascii="Calibri" w:hAnsi="Calibri"/>
          <w:b/>
          <w:color w:val="525866"/>
          <w:sz w:val="22"/>
        </w:rPr>
        <w:t>June 30, 2026 — Evergy Secures New $3.5 Billion Revolving Credit Facility.</w:t>
      </w:r>
      <w:r>
        <w:rPr>
          <w:rFonts w:ascii="Calibri" w:hAnsi="Calibri"/>
          <w:color w:val="525866"/>
          <w:sz w:val="22"/>
        </w:rPr>
        <w:t xml:space="preserve"> Replaces the prior $2.5B facility (maturing 2028) and a $1B delayed draw term loan. New facility matures June 30, 2031, with two one-year extension options and a $1B accordion feature (potential $4.5B total). Wells Fargo serves as administrative agent. Implication: Materially expands liquidity headroom; the $1B increase in facility size vs. the prior agreement signals lender confidence in EVRG’s credit profile and growth plan.</w:t>
      </w:r>
    </w:p>
    <w:p>
      <w:pPr>
        <w:pStyle w:val="ListBullet"/>
        <w:ind w:left="360" w:hanging="360"/>
      </w:pPr>
      <w:r>
        <w:rPr>
          <w:rFonts w:ascii="Calibri" w:hAnsi="Calibri"/>
          <w:b/>
          <w:color w:val="525866"/>
          <w:sz w:val="22"/>
        </w:rPr>
        <w:t>May 7, 2026 (Q1 2026 Earnings) — Fifth ESA Signed + Two ESA Amendments.</w:t>
      </w:r>
      <w:r>
        <w:rPr>
          <w:rFonts w:ascii="Calibri" w:hAnsi="Calibri"/>
          <w:color w:val="525866"/>
          <w:sz w:val="22"/>
        </w:rPr>
        <w:t xml:space="preserve"> EVRG signed a fifth large customer ESA for a Kansas Central data center project with a premier developer and hyperscaler offtaker. Two previously signed ESAs were amended to reflect higher load profiles, boosting 2026 margins and offsetting mild winter weather. Total signed ESA steady-state peak load now ~2.5 GW (plus ~450 MW from non-LLPS customers = ~3 GW total). Implication: Directly raises FY2026 revenue and margin visibility; management guided at least one additional ESA in 2026 as upside to the plan.</w:t>
      </w:r>
    </w:p>
    <w:p>
      <w:pPr>
        <w:pStyle w:val="ListBullet"/>
        <w:ind w:left="360" w:hanging="360"/>
      </w:pPr>
      <w:r>
        <w:rPr>
          <w:rFonts w:ascii="Calibri" w:hAnsi="Calibri"/>
          <w:b/>
          <w:color w:val="525866"/>
          <w:sz w:val="22"/>
        </w:rPr>
        <w:t>May 7, 2026 — Raised Long-Term Load Growth Forecast and Rate Base CAGR.</w:t>
      </w:r>
      <w:r>
        <w:rPr>
          <w:rFonts w:ascii="Calibri" w:hAnsi="Calibri"/>
          <w:color w:val="525866"/>
          <w:sz w:val="22"/>
        </w:rPr>
        <w:t xml:space="preserve"> Retail load growth forecast raised to 7–8% annually through 2030 (from 6%); rate base CAGR raised to ~12% (from ~11.5%). IRP filings in both Kansas and Missouri filed on May 7. Implication: Structural upward revision to the earnings growth trajectory; IRP filings will drive predetermination and CCN filings over the balance of 2026.</w:t>
      </w:r>
    </w:p>
    <w:p>
      <w:pPr>
        <w:pStyle w:val="ListBullet"/>
        <w:ind w:left="360" w:hanging="360"/>
      </w:pPr>
      <w:r>
        <w:rPr>
          <w:rFonts w:ascii="Calibri" w:hAnsi="Calibri"/>
          <w:b/>
          <w:color w:val="525866"/>
          <w:sz w:val="22"/>
        </w:rPr>
        <w:t>May 7, 2026 — Missouri Metro Rate Case Filed February 6, 2026.</w:t>
      </w:r>
      <w:r>
        <w:rPr>
          <w:rFonts w:ascii="Calibri" w:hAnsi="Calibri"/>
          <w:color w:val="525866"/>
          <w:sz w:val="22"/>
        </w:rPr>
        <w:t xml:space="preserve"> Procedural schedule: staff/intervenor testimony by June 30, settlement conferences September 23–24, hearings beginning October 5, new rates effective ~January 1, 2027. Implication: Rate case is on track; any settlement update or staff testimony outcome could be a catalyst at or after the Q2 print.</w:t>
      </w:r>
    </w:p>
    <w:p>
      <w:pPr>
        <w:pStyle w:val="ListBullet"/>
        <w:ind w:left="360" w:hanging="360"/>
      </w:pPr>
      <w:r>
        <w:rPr>
          <w:rFonts w:ascii="Calibri" w:hAnsi="Calibri"/>
          <w:b/>
          <w:color w:val="525866"/>
          <w:sz w:val="22"/>
        </w:rPr>
        <w:t>May 7, 2026 — Kansas Nuclear PTC Flowback Approved.</w:t>
      </w:r>
      <w:r>
        <w:rPr>
          <w:rFonts w:ascii="Calibri" w:hAnsi="Calibri"/>
          <w:color w:val="525866"/>
          <w:sz w:val="22"/>
        </w:rPr>
        <w:t xml:space="preserve"> Kansas Corporation Commission approved return of all deferred nuclear production tax credits to customers over a 3-year period (&gt;$100M/year). Implication: Enhances customer affordability and supports EVRG’s regulatory compact, but creates a ~1% headwind to FFO/debt metrics during the flowback period (reflected in the 14–15% FFO/debt target range).</w:t>
      </w:r>
    </w:p>
    <w:p>
      <w:pPr>
        <w:pStyle w:val="ListBullet"/>
        <w:ind w:left="360" w:hanging="360"/>
      </w:pPr>
      <w:r>
        <w:rPr>
          <w:rFonts w:ascii="Calibri" w:hAnsi="Calibri"/>
          <w:b/>
          <w:color w:val="525866"/>
          <w:sz w:val="22"/>
        </w:rPr>
        <w:t>Sector-Wide — White House Ratepayer Protection Pledge.</w:t>
      </w:r>
      <w:r>
        <w:rPr>
          <w:rFonts w:ascii="Calibri" w:hAnsi="Calibri"/>
          <w:color w:val="525866"/>
          <w:sz w:val="22"/>
        </w:rPr>
        <w:t xml:space="preserve"> NEE, Dominion, and other utilities announced support for the White House’s Ratepayer Protection Pledge (reinforcing that large load customers pay their fair share). Implication: Positive regulatory tailwind for EVRG’s LLPS tariff framework; reduces political risk around data center cost allocation.</w:t>
      </w:r>
    </w:p>
    <w:p>
      <w:pPr>
        <w:pStyle w:val="ListBullet"/>
        <w:ind w:left="360" w:hanging="360"/>
      </w:pPr>
      <w:r>
        <w:rPr>
          <w:rFonts w:ascii="Calibri" w:hAnsi="Calibri"/>
          <w:b/>
          <w:color w:val="525866"/>
          <w:sz w:val="22"/>
        </w:rPr>
        <w:t>Sector-Wide — Q2 2026 Peer Earnings Confirm Accelerating Data Center Demand.</w:t>
      </w:r>
      <w:r>
        <w:rPr>
          <w:rFonts w:ascii="Calibri" w:hAnsi="Calibri"/>
          <w:color w:val="525866"/>
          <w:sz w:val="22"/>
        </w:rPr>
        <w:t xml:space="preserve"> DTE (2.4 GW executed), XEL (2 GW in operation/ESA + 4 GW pipeline), AEE (2.8 GW signed ESAs in Missouri), NEE (8 GW FPL target by 2032), Dominion (53 GW in contracting stages), WEC (4.2% weather-normalized sales growth), CNP (14 GW Batch Zero eligible), ETR (9% retail sales growth). Implication: Broad-based peer validation of the structural demand thesis underpinning EVRG’s growth story.</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Q1 2026 earnings date is limited to two sellers — one EVP sale under a 10b5-1 plan (routine/pre-planned) and two small open-market sales by a Director — nothing that signals unusual concern; the absence of open-market buying is unremarkable given the stock’s strong run.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Charles A. Caisley</w:t>
            </w:r>
          </w:p>
        </w:tc>
        <w:tc>
          <w:tcPr>
            <w:tcW w:type="dxa" w:w="1440"/>
          </w:tcPr>
          <w:p>
            <w:r>
              <w:rPr>
                <w:rFonts w:ascii="Calibri" w:hAnsi="Calibri"/>
                <w:sz w:val="22"/>
              </w:rPr>
              <w:t>EVP &amp; Chief Customer Officer</w:t>
            </w:r>
          </w:p>
        </w:tc>
        <w:tc>
          <w:tcPr>
            <w:tcW w:type="dxa" w:w="1440"/>
          </w:tcPr>
          <w:p>
            <w:r>
              <w:rPr>
                <w:rFonts w:ascii="Calibri" w:hAnsi="Calibri"/>
                <w:sz w:val="22"/>
              </w:rPr>
              <w:t>10b5-1 Planned Sale</w:t>
            </w:r>
          </w:p>
        </w:tc>
        <w:tc>
          <w:tcPr>
            <w:tcW w:type="dxa" w:w="1440"/>
          </w:tcPr>
          <w:p>
            <w:r>
              <w:rPr>
                <w:rFonts w:ascii="Calibri" w:hAnsi="Calibri"/>
                <w:sz w:val="22"/>
              </w:rPr>
              <w:t>10,787 shares</w:t>
            </w:r>
          </w:p>
        </w:tc>
        <w:tc>
          <w:tcPr>
            <w:tcW w:type="dxa" w:w="1440"/>
          </w:tcPr>
          <w:p>
            <w:r>
              <w:rPr>
                <w:rFonts w:ascii="Calibri" w:hAnsi="Calibri"/>
                <w:sz w:val="22"/>
              </w:rPr>
              <w:t>June 15, 2026</w:t>
            </w:r>
          </w:p>
        </w:tc>
        <w:tc>
          <w:tcPr>
            <w:tcW w:type="dxa" w:w="1440"/>
          </w:tcPr>
          <w:p>
            <w:r>
              <w:rPr>
                <w:rFonts w:ascii="Calibri" w:hAnsi="Calibri"/>
                <w:sz w:val="22"/>
              </w:rPr>
              <w:t>Pre-planned 10b5-1 sale; routine/obligation-driven. Retains 37,789 shares post-transaction.</w:t>
            </w:r>
          </w:p>
        </w:tc>
      </w:tr>
      <w:tr>
        <w:tc>
          <w:tcPr>
            <w:tcW w:type="dxa" w:w="1440"/>
          </w:tcPr>
          <w:p>
            <w:r>
              <w:rPr>
                <w:rFonts w:ascii="Calibri" w:hAnsi="Calibri"/>
                <w:sz w:val="22"/>
              </w:rPr>
              <w:t>Sandra AJ Lawrence</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600 shares</w:t>
            </w:r>
          </w:p>
        </w:tc>
        <w:tc>
          <w:tcPr>
            <w:tcW w:type="dxa" w:w="1440"/>
          </w:tcPr>
          <w:p>
            <w:r>
              <w:rPr>
                <w:rFonts w:ascii="Calibri" w:hAnsi="Calibri"/>
                <w:sz w:val="22"/>
              </w:rPr>
              <w:t>June 2, 2026</w:t>
            </w:r>
          </w:p>
        </w:tc>
        <w:tc>
          <w:tcPr>
            <w:tcW w:type="dxa" w:w="1440"/>
          </w:tcPr>
          <w:p>
            <w:r>
              <w:rPr>
                <w:rFonts w:ascii="Calibri" w:hAnsi="Calibri"/>
                <w:sz w:val="22"/>
              </w:rPr>
              <w:t>Discretionary sale; small size. Retains 680 shares post-transaction.</w:t>
            </w:r>
          </w:p>
        </w:tc>
      </w:tr>
      <w:tr>
        <w:tc>
          <w:tcPr>
            <w:tcW w:type="dxa" w:w="1440"/>
          </w:tcPr>
          <w:p>
            <w:r>
              <w:rPr>
                <w:rFonts w:ascii="Calibri" w:hAnsi="Calibri"/>
                <w:sz w:val="22"/>
              </w:rPr>
              <w:t>Sandra AJ Lawrence</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761 shares</w:t>
            </w:r>
          </w:p>
        </w:tc>
        <w:tc>
          <w:tcPr>
            <w:tcW w:type="dxa" w:w="1440"/>
          </w:tcPr>
          <w:p>
            <w:r>
              <w:rPr>
                <w:rFonts w:ascii="Calibri" w:hAnsi="Calibri"/>
                <w:sz w:val="22"/>
              </w:rPr>
              <w:t>May 28, 2026</w:t>
            </w:r>
          </w:p>
        </w:tc>
        <w:tc>
          <w:tcPr>
            <w:tcW w:type="dxa" w:w="1440"/>
          </w:tcPr>
          <w:p>
            <w:r>
              <w:rPr>
                <w:rFonts w:ascii="Calibri" w:hAnsi="Calibri"/>
                <w:sz w:val="22"/>
              </w:rPr>
              <w:t>Discretionary sale; small size. Retains 1,680 shares post-transaction.</w:t>
            </w:r>
          </w:p>
        </w:tc>
      </w:tr>
    </w:tbl>
    <w:p>
      <w:r>
        <w:rPr>
          <w:rFonts w:ascii="Calibri" w:hAnsi="Calibri"/>
          <w:color w:val="525866"/>
          <w:sz w:val="22"/>
        </w:rPr>
        <w:t>Source: SEC Form 4 Filings (Insider Transaction Data). Window: May 7, 2026 – August 5, 2026 (since Q1 2026 earnings date). Only open-market transactions (Form 4 codes P/S) and 10b5-1 plan sales included. No open-market purchases were filed during the period. The Caisley sale is pre-planned and carries no discretionary signal. The Lawrence sales are small in absolute dollar terms and represent a partial reduction in a modest position — not a meaningful bearish signal. Overall, insider activity is quiet and unremarkable heading into the Q2 print.</w:t>
      </w:r>
    </w:p>
    <w:p>
      <w:r>
        <w:rPr>
          <w:rFonts w:ascii="Calibri" w:hAnsi="Calibri"/>
          <w:color w:val="525866"/>
          <w:sz w:val="22"/>
        </w:rPr>
        <w:t>—</w:t>
      </w:r>
    </w:p>
    <w:p>
      <w:r>
        <w:rPr>
          <w:rFonts w:ascii="Calibri" w:hAnsi="Calibri"/>
          <w:b/>
          <w:i/>
          <w:color w:val="525866"/>
          <w:sz w:val="22"/>
        </w:rPr>
        <w:t>Disclosures &amp; Data Sources</w:t>
      </w:r>
      <w:r>
        <w:rPr>
          <w:rFonts w:ascii="Calibri" w:hAnsi="Calibri"/>
          <w:i/>
          <w:color w:val="525866"/>
          <w:sz w:val="22"/>
        </w:rPr>
        <w:t>: Visible Alpha Consensus and Actuals Data (EPS, Revenue, CapEx estimates and actuals); SEC Form 4 Filings Database (insider transactions); Yahoo Finance / Stock Price Data (EVRG and XLU price series); EVRG Q1 2026 Earnings Call Transcript (May 7, 2026); EVRG 8-K filings (June 30, 2026 credit facility; July 1, 2026 bond issuance); Peer Q2 2026 earnings call transcripts: DTE (July 28), XEL (July 30), AEE (July 31), CMS (July 28), NEE (July 24), D (July 31), WEC (July 29), CNP (July 28), ETR (July 29); ETR Investor Day transcript (June 9, 2026). This document is prepared for informational purposes only and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