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vrg-earnings-predictions--2026-08-06"/>
    <w:p>
      <w:pPr>
        <w:pStyle w:val="Heading1"/>
      </w:pPr>
      <w:r>
        <w:t xml:space="preserve">EVRG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~$0.79 vs. cons $0.812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~$1.43B vs. cons $1.453B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~16,400 GWh vs. cons 16,636 GWh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4.14</m:t>
              </m:r>
              <m:r>
                <m:rPr>
                  <m:sty m:val="p"/>
                </m:rPr>
                <m:t>−</m:t>
              </m:r>
            </m:oMath>
            <w:r>
              <w:t xml:space="preserve">4.34 vs. cons $4.235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(3Q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~$2.07 midpoint vs. cons $2.101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Retail-load / ESA commentary (2026-30)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7%-8% load CAGR; no incremental ESA assumed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near-term guide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2026-08-08T02:02:12Z</dcterms:created>
  <dcterms:modified xsi:type="dcterms:W3CDTF">2026-08-08T02:02:12Z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