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pd-earnings-predictions--2026-08-04"/>
    <w:p>
      <w:pPr>
        <w:pStyle w:val="Heading1"/>
      </w:pPr>
      <w:r>
        <w:t xml:space="preserve">EXPD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~$1.71 vs. cons $1.64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~$2.93B vs. cons $2.90B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285M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Formal guidance (EXPD issues none; no earnings call)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n/a ~0 vs. cons 0 explicit items (Q3'26); event is the written release only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Ocean trajectory commentary (revenue/FEU)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~-5% FEU / rev-per-container down ~30-40% vs. cons flat 0% (2H'26)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Air + Customs/fee momentum (implied Q3'26 EPS)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implied ~</w:t>
            </w:r>
            <m:oMath>
              <m:r>
                <m:t>1.72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1.70 (Q3'26) on air/customs strength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Likely modest EPS beat (~$1.71 vs</w:t>
            </w:r>
            <w:r>
              <w:t xml:space="preserve"> </w:t>
            </w:r>
            <m:oMath>
              <m:r>
                <m:t>1.64</m:t>
              </m:r>
              <m:r>
                <m:rPr>
                  <m:sty m:val="p"/>
                </m:rPr>
                <m:t>)</m:t>
              </m:r>
              <m:r>
                <m:t>b</m:t>
              </m:r>
              <m:r>
                <m:t>u</m:t>
              </m:r>
              <m:r>
                <m:t>t</m:t>
              </m:r>
              <m:r>
                <m:t>b</m:t>
              </m:r>
              <m:r>
                <m:t>a</m:t>
              </m:r>
              <m:r>
                <m:t>r</m:t>
              </m:r>
              <m:r>
                <m:t>i</m:t>
              </m:r>
              <m:r>
                <m:t>s</m:t>
              </m:r>
              <m:r>
                <m:t>v</m:t>
              </m:r>
              <m:r>
                <m:t>e</m:t>
              </m:r>
              <m:r>
                <m:t>r</m:t>
              </m:r>
              <m:r>
                <m:t>y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a</m:t>
              </m:r>
              <m:r>
                <m:t> </m:t>
              </m:r>
              <m:r>
                <m:t>46</m:t>
              </m:r>
            </m:oMath>
            <w:r>
              <w:t xml:space="preserve">205 to ~$147) has soured freight-cycle sentiment and raises de-rating risk. No call means limited ability to reset the narrative higher, so an initial pop tends to fade as analysts trim forward numbers.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2026-08-04T01:24:38Z</dcterms:created>
  <dcterms:modified xsi:type="dcterms:W3CDTF">2026-08-04T01:24:38Z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