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EXPD before writing the preview. Let me gather recent filings, earnings history, and news.Let me read the most recent earnings release and the year-ago quarter, plus check the stock price and recent news.Let me get the Q3 and Q4 2025 releases for the recent trend, plus the stock price and any recent news.Let me check analyst expectations and recent freight-sector context via web search and the industrials topic.I have what I need. Here's the earnings preview.</w:t>
      </w:r>
    </w:p>
    <w:p>
      <w:r>
        <w:pict>
          <v:rect style="width:0;height:1.5pt" o:hralign="center" o:hrstd="t" o:hr="t"/>
        </w:pict>
      </w:r>
    </w:p>
    <w:bookmarkStart w:id="17" w:name="Xba18eab8a6b5e1234df5269f5b4d73fcbafc79c"/>
    <w:p>
      <w:pPr>
        <w:pStyle w:val="Heading1"/>
      </w:pPr>
      <w:r>
        <w:t xml:space="preserve">Expeditors International (EXPD) — Q2 2026 Earnings Preview</w:t>
      </w:r>
    </w:p>
    <w:bookmarkStart w:id="9" w:name="Xc42235db3ad3a1c4f95ebecb4a4d5c581f8a982"/>
    <w:p>
      <w:pPr>
        <w:pStyle w:val="Heading3"/>
      </w:pPr>
      <w:r>
        <w:t xml:space="preserve">Reports Tuesday, August 4, 2026 (before the open)</w:t>
      </w:r>
    </w:p>
    <w:bookmarkEnd w:id="9"/>
    <w:bookmarkStart w:id="10" w:name="the-setup-in-one-line"/>
    <w:p>
      <w:pPr>
        <w:pStyle w:val="Heading2"/>
      </w:pPr>
      <w:r>
        <w:t xml:space="preserve">The setup in one line</w:t>
      </w:r>
    </w:p>
    <w:p>
      <w:pPr>
        <w:pStyle w:val="FirstParagraph"/>
      </w:pPr>
      <w:r>
        <w:t xml:space="preserve">EXPD goes into this print riding a hot stock and a four-quarter beat streak, but with an unusually high bar: the Street expects double-digit earnings growth against a soft-ocean backdrop, and a freight-peer wobble (C.H. Robinson) just reminded investors how quickly sentiment in this group can turn.</w:t>
      </w:r>
    </w:p>
    <w:p>
      <w:pPr>
        <w:pStyle w:val="BodyText"/>
      </w:pPr>
      <w:r>
        <w:rPr>
          <w:b/>
          <w:bCs/>
        </w:rPr>
        <w:t xml:space="preserve">A quirk worth remembering:</w:t>
      </w:r>
      <w:r>
        <w:t xml:space="preserve"> </w:t>
      </w:r>
      <w:r>
        <w:t xml:space="preserve">Expeditors does</w:t>
      </w:r>
      <w:r>
        <w:t xml:space="preserve"> </w:t>
      </w:r>
      <w:r>
        <w:rPr>
          <w:i/>
          <w:iCs/>
        </w:rPr>
        <w:t xml:space="preserve">not</w:t>
      </w:r>
      <w:r>
        <w:t xml:space="preserve"> </w:t>
      </w:r>
      <w:r>
        <w:t xml:space="preserve">hold an earnings call. It publishes a release, then answers investor questions submitted by email in a follow-up 8-K ("Responses to Selected Questions"). So the release itself — segment commentary, margins, headcount, buybacks — is the entire event on day one.</w:t>
      </w:r>
    </w:p>
    <w:p>
      <w:r>
        <w:pict>
          <v:rect style="width:0;height:1.5pt" o:hralign="center" o:hrstd="t" o:hr="t"/>
        </w:pict>
      </w:r>
    </w:p>
    <w:bookmarkEnd w:id="10"/>
    <w:bookmarkStart w:id="11" w:name="what-the-street-expects"/>
    <w:p>
      <w:pPr>
        <w:pStyle w:val="Heading2"/>
      </w:pPr>
      <w:r>
        <w:t xml:space="preserve">What the Street expects</w:t>
      </w:r>
    </w:p>
    <w:p>
      <w:pPr>
        <w:pStyle w:val="Compact"/>
        <w:numPr>
          <w:ilvl w:val="0"/>
          <w:numId w:val="1001"/>
        </w:numPr>
      </w:pPr>
      <w:r>
        <w:t xml:space="preserve">Analysts expect EPS of $1.64 on a diluted basis, up 22.4% from $1.34 in the year-ago quarter.</w:t>
      </w:r>
    </w:p>
    <w:p>
      <w:pPr>
        <w:pStyle w:val="Compact"/>
        <w:numPr>
          <w:ilvl w:val="0"/>
          <w:numId w:val="1001"/>
        </w:numPr>
      </w:pPr>
      <w:r>
        <w:t xml:space="preserve">The Zacks consensus estimate for revenues is pegged at $2.90 billion, indicating an increase of 9.5% from second-quarter 2025 actuals.</w:t>
      </w:r>
    </w:p>
    <w:p>
      <w:pPr>
        <w:pStyle w:val="Compact"/>
        <w:numPr>
          <w:ilvl w:val="0"/>
          <w:numId w:val="1001"/>
        </w:numPr>
      </w:pPr>
      <w:r>
        <w:t xml:space="preserve">History favors an upside surprise: the company has exceeded Wall Street's EPS estimates in each of its last four quarters. Last quarter the beat was enormous — it was expected that Expeditors would post earnings of $1.33 per share when it actually produced $1.71, delivering a surprise of +28.57%.</w:t>
      </w:r>
    </w:p>
    <w:p>
      <w:pPr>
        <w:pStyle w:val="FirstParagraph"/>
      </w:pPr>
      <w:r>
        <w:t xml:space="preserve">Note that the year-ago (Q2 2025) comp is flattered on the net-income line by a one-time tax headwind: last year's effective rate jumped to 28.7% (from 25.8%), which depressed prior-year EPS and makes the ~22% expected growth easier to clear.</w:t>
      </w:r>
    </w:p>
    <w:p>
      <w:r>
        <w:pict>
          <v:rect style="width:0;height:1.5pt" o:hralign="center" o:hrstd="t" o:hr="t"/>
        </w:pict>
      </w:r>
    </w:p>
    <w:bookmarkEnd w:id="11"/>
    <w:bookmarkStart w:id="12" w:name="Xd9bf0f06c44b92c05addee15a776a789becc081"/>
    <w:p>
      <w:pPr>
        <w:pStyle w:val="Heading2"/>
      </w:pPr>
      <w:r>
        <w:t xml:space="preserve">Recent trajectory (diluted EPS, revenue, volumes)</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Quarter</w:t>
            </w:r>
          </w:p>
        </w:tc>
        <w:tc>
          <w:tcPr/>
          <w:p>
            <w:pPr>
              <w:pStyle w:val="Compact"/>
            </w:pPr>
            <w:r>
              <w:t xml:space="preserve">EPS</w:t>
            </w:r>
          </w:p>
        </w:tc>
        <w:tc>
          <w:tcPr/>
          <w:p>
            <w:pPr>
              <w:pStyle w:val="Compact"/>
            </w:pPr>
            <w:r>
              <w:t xml:space="preserve">YoY</w:t>
            </w:r>
          </w:p>
        </w:tc>
        <w:tc>
          <w:tcPr/>
          <w:p>
            <w:pPr>
              <w:pStyle w:val="Compact"/>
            </w:pPr>
            <w:r>
              <w:t xml:space="preserve">Revenue</w:t>
            </w:r>
          </w:p>
        </w:tc>
        <w:tc>
          <w:tcPr/>
          <w:p>
            <w:pPr>
              <w:pStyle w:val="Compact"/>
            </w:pPr>
            <w:r>
              <w:t xml:space="preserve">Op. Income</w:t>
            </w:r>
          </w:p>
        </w:tc>
        <w:tc>
          <w:tcPr/>
          <w:p>
            <w:pPr>
              <w:pStyle w:val="Compact"/>
            </w:pPr>
            <w:r>
              <w:t xml:space="preserve">Air kilos</w:t>
            </w:r>
          </w:p>
        </w:tc>
        <w:tc>
          <w:tcPr/>
          <w:p>
            <w:pPr>
              <w:pStyle w:val="Compact"/>
            </w:pPr>
            <w:r>
              <w:t xml:space="preserve">Ocean FEU</w:t>
            </w:r>
          </w:p>
        </w:tc>
      </w:tr>
      <w:tr>
        <w:tc>
          <w:tcPr/>
          <w:p>
            <w:pPr>
              <w:pStyle w:val="Compact"/>
            </w:pPr>
            <w:r>
              <w:t xml:space="preserve">Q2'25</w:t>
            </w:r>
          </w:p>
        </w:tc>
        <w:tc>
          <w:tcPr/>
          <w:p>
            <w:pPr>
              <w:pStyle w:val="Compact"/>
            </w:pPr>
            <w:r>
              <w:t xml:space="preserve">$1.34</w:t>
            </w:r>
          </w:p>
        </w:tc>
        <w:tc>
          <w:tcPr/>
          <w:p>
            <w:pPr>
              <w:pStyle w:val="Compact"/>
            </w:pPr>
            <w:r>
              <w:t xml:space="preserve">+8%</w:t>
            </w:r>
          </w:p>
        </w:tc>
        <w:tc>
          <w:tcPr/>
          <w:p>
            <w:pPr>
              <w:pStyle w:val="Compact"/>
            </w:pPr>
            <w:r>
              <w:t xml:space="preserve">$2.65B</w:t>
            </w:r>
          </w:p>
        </w:tc>
        <w:tc>
          <w:tcPr/>
          <w:p>
            <w:pPr>
              <w:pStyle w:val="Compact"/>
            </w:pPr>
            <w:r>
              <w:t xml:space="preserve">$248M</w:t>
            </w:r>
          </w:p>
        </w:tc>
        <w:tc>
          <w:tcPr/>
          <w:p>
            <w:pPr>
              <w:pStyle w:val="Compact"/>
            </w:pPr>
            <w:r>
              <w:t xml:space="preserve">+7%</w:t>
            </w:r>
          </w:p>
        </w:tc>
        <w:tc>
          <w:tcPr/>
          <w:p>
            <w:pPr>
              <w:pStyle w:val="Compact"/>
            </w:pPr>
            <w:r>
              <w:t xml:space="preserve">+7%</w:t>
            </w:r>
          </w:p>
        </w:tc>
      </w:tr>
      <w:tr>
        <w:tc>
          <w:tcPr/>
          <w:p>
            <w:pPr>
              <w:pStyle w:val="Compact"/>
            </w:pPr>
            <w:r>
              <w:t xml:space="preserve">Q3'25</w:t>
            </w:r>
          </w:p>
        </w:tc>
        <w:tc>
          <w:tcPr/>
          <w:p>
            <w:pPr>
              <w:pStyle w:val="Compact"/>
            </w:pPr>
            <w:r>
              <w:t xml:space="preserve">$1.64</w:t>
            </w:r>
          </w:p>
        </w:tc>
        <w:tc>
          <w:tcPr/>
          <w:p>
            <w:pPr>
              <w:pStyle w:val="Compact"/>
            </w:pPr>
            <w:r>
              <w:t xml:space="preserve">+1%</w:t>
            </w:r>
          </w:p>
        </w:tc>
        <w:tc>
          <w:tcPr/>
          <w:p>
            <w:pPr>
              <w:pStyle w:val="Compact"/>
            </w:pPr>
            <w:r>
              <w:t xml:space="preserve">$2.89B</w:t>
            </w:r>
          </w:p>
        </w:tc>
        <w:tc>
          <w:tcPr/>
          <w:p>
            <w:pPr>
              <w:pStyle w:val="Compact"/>
            </w:pPr>
            <w:r>
              <w:t xml:space="preserve">$288M</w:t>
            </w:r>
          </w:p>
        </w:tc>
        <w:tc>
          <w:tcPr/>
          <w:p>
            <w:pPr>
              <w:pStyle w:val="Compact"/>
            </w:pPr>
            <w:r>
              <w:t xml:space="preserve">+4%</w:t>
            </w:r>
          </w:p>
        </w:tc>
        <w:tc>
          <w:tcPr/>
          <w:p>
            <w:pPr>
              <w:pStyle w:val="Compact"/>
            </w:pPr>
            <w:r>
              <w:t xml:space="preserve">−3%</w:t>
            </w:r>
          </w:p>
        </w:tc>
      </w:tr>
      <w:tr>
        <w:tc>
          <w:tcPr/>
          <w:p>
            <w:pPr>
              <w:pStyle w:val="Compact"/>
            </w:pPr>
            <w:r>
              <w:t xml:space="preserve">Q4'25</w:t>
            </w:r>
          </w:p>
        </w:tc>
        <w:tc>
          <w:tcPr/>
          <w:p>
            <w:pPr>
              <w:pStyle w:val="Compact"/>
            </w:pPr>
            <w:r>
              <w:t xml:space="preserve">$1.49</w:t>
            </w:r>
          </w:p>
        </w:tc>
        <w:tc>
          <w:tcPr/>
          <w:p>
            <w:pPr>
              <w:pStyle w:val="Compact"/>
            </w:pPr>
            <w:r>
              <w:t xml:space="preserve">−11%</w:t>
            </w:r>
          </w:p>
        </w:tc>
        <w:tc>
          <w:tcPr/>
          <w:p>
            <w:pPr>
              <w:pStyle w:val="Compact"/>
            </w:pPr>
            <w:r>
              <w:t xml:space="preserve">$2.86B</w:t>
            </w:r>
          </w:p>
        </w:tc>
        <w:tc>
          <w:tcPr/>
          <w:p>
            <w:pPr>
              <w:pStyle w:val="Compact"/>
            </w:pPr>
            <w:r>
              <w:t xml:space="preserve">$251M</w:t>
            </w:r>
          </w:p>
        </w:tc>
        <w:tc>
          <w:tcPr/>
          <w:p>
            <w:pPr>
              <w:pStyle w:val="Compact"/>
            </w:pPr>
            <w:r>
              <w:t xml:space="preserve">+6%</w:t>
            </w:r>
          </w:p>
        </w:tc>
        <w:tc>
          <w:tcPr/>
          <w:p>
            <w:pPr>
              <w:pStyle w:val="Compact"/>
            </w:pPr>
            <w:r>
              <w:t xml:space="preserve">−6%</w:t>
            </w:r>
          </w:p>
        </w:tc>
      </w:tr>
      <w:tr>
        <w:tc>
          <w:tcPr/>
          <w:p>
            <w:pPr>
              <w:pStyle w:val="Compact"/>
            </w:pPr>
            <w:r>
              <w:t xml:space="preserve">Q1'26</w:t>
            </w:r>
          </w:p>
        </w:tc>
        <w:tc>
          <w:tcPr/>
          <w:p>
            <w:pPr>
              <w:pStyle w:val="Compact"/>
            </w:pPr>
            <w:r>
              <w:t xml:space="preserve">$1.71</w:t>
            </w:r>
          </w:p>
        </w:tc>
        <w:tc>
          <w:tcPr/>
          <w:p>
            <w:pPr>
              <w:pStyle w:val="Compact"/>
            </w:pPr>
            <w:r>
              <w:t xml:space="preserve">+16%</w:t>
            </w:r>
          </w:p>
        </w:tc>
        <w:tc>
          <w:tcPr/>
          <w:p>
            <w:pPr>
              <w:pStyle w:val="Compact"/>
            </w:pPr>
            <w:r>
              <w:t xml:space="preserve">$2.78B</w:t>
            </w:r>
          </w:p>
        </w:tc>
        <w:tc>
          <w:tcPr/>
          <w:p>
            <w:pPr>
              <w:pStyle w:val="Compact"/>
            </w:pPr>
            <w:r>
              <w:t xml:space="preserve">$295M</w:t>
            </w:r>
          </w:p>
        </w:tc>
        <w:tc>
          <w:tcPr/>
          <w:p>
            <w:pPr>
              <w:pStyle w:val="Compact"/>
            </w:pPr>
            <w:r>
              <w:t xml:space="preserve">+5%</w:t>
            </w:r>
          </w:p>
        </w:tc>
        <w:tc>
          <w:tcPr/>
          <w:p>
            <w:pPr>
              <w:pStyle w:val="Compact"/>
            </w:pPr>
            <w:r>
              <w:t xml:space="preserve">−4%</w:t>
            </w:r>
          </w:p>
        </w:tc>
      </w:tr>
      <w:tr>
        <w:tc>
          <w:tcPr/>
          <w:p>
            <w:pPr>
              <w:pStyle w:val="Compact"/>
            </w:pPr>
            <w:r>
              <w:rPr>
                <w:b/>
                <w:bCs/>
              </w:rPr>
              <w:t xml:space="preserve">Q2'26E</w:t>
            </w:r>
          </w:p>
        </w:tc>
        <w:tc>
          <w:tcPr/>
          <w:p>
            <w:pPr>
              <w:pStyle w:val="Compact"/>
            </w:pPr>
            <w:r>
              <w:rPr>
                <w:b/>
                <w:bCs/>
              </w:rPr>
              <w:t xml:space="preserve">~$1.64</w:t>
            </w:r>
          </w:p>
        </w:tc>
        <w:tc>
          <w:tcPr/>
          <w:p>
            <w:pPr>
              <w:pStyle w:val="Compact"/>
            </w:pPr>
            <w:r>
              <w:rPr>
                <w:b/>
                <w:bCs/>
              </w:rPr>
              <w:t xml:space="preserve">~+22%</w:t>
            </w:r>
          </w:p>
        </w:tc>
        <w:tc>
          <w:tcPr/>
          <w:p>
            <w:pPr>
              <w:pStyle w:val="Compact"/>
            </w:pPr>
            <w:r>
              <w:rPr>
                <w:b/>
                <w:bCs/>
              </w:rPr>
              <w:t xml:space="preserve">~$2.90B</w:t>
            </w:r>
          </w:p>
        </w:tc>
        <w:tc>
          <w:tcPr/>
          <w:p>
            <w:pPr>
              <w:pStyle w:val="Compact"/>
            </w:pPr>
            <w:r>
              <w:t xml:space="preserve">—</w:t>
            </w:r>
          </w:p>
        </w:tc>
        <w:tc>
          <w:tcPr/>
          <w:p>
            <w:pPr>
              <w:pStyle w:val="Compact"/>
            </w:pPr>
            <w:r>
              <w:t xml:space="preserve">—</w:t>
            </w:r>
          </w:p>
        </w:tc>
        <w:tc>
          <w:tcPr/>
          <w:p>
            <w:pPr>
              <w:pStyle w:val="Compact"/>
            </w:pPr>
            <w:r>
              <w:t xml:space="preserve">—</w:t>
            </w:r>
          </w:p>
        </w:tc>
      </w:tr>
    </w:tbl>
    <w:p>
      <w:pPr>
        <w:pStyle w:val="BodyText"/>
      </w:pPr>
      <w:r>
        <w:t xml:space="preserve">The pattern is clear:</w:t>
      </w:r>
      <w:r>
        <w:t xml:space="preserve"> </w:t>
      </w:r>
      <w:r>
        <w:rPr>
          <w:b/>
          <w:bCs/>
        </w:rPr>
        <w:t xml:space="preserve">air tonnage keeps growing, ocean volume keeps shrinking</w:t>
      </w:r>
      <w:r>
        <w:t xml:space="preserve">, and the earnings mix is increasingly carried by customs brokerage and other fee-based services.</w:t>
      </w:r>
    </w:p>
    <w:p>
      <w:r>
        <w:pict>
          <v:rect style="width:0;height:1.5pt" o:hralign="center" o:hrstd="t" o:hr="t"/>
        </w:pict>
      </w:r>
    </w:p>
    <w:bookmarkEnd w:id="12"/>
    <w:bookmarkStart w:id="13" w:name="Xbe58f08c1fbcb6a0d70f95d22fb7d98467ea0e3"/>
    <w:p>
      <w:pPr>
        <w:pStyle w:val="Heading2"/>
      </w:pPr>
      <w:r>
        <w:t xml:space="preserve">The three things that will decide the quarter</w:t>
      </w:r>
    </w:p>
    <w:p>
      <w:pPr>
        <w:pStyle w:val="FirstParagraph"/>
      </w:pPr>
      <w:r>
        <w:rPr>
          <w:b/>
          <w:bCs/>
        </w:rPr>
        <w:t xml:space="preserve">1. Air margins &amp; the AI/tech demand engine.</w:t>
      </w:r>
      <w:r>
        <w:t xml:space="preserve"> </w:t>
      </w:r>
      <w:r>
        <w:t xml:space="preserve">Air is the biggest revenue line and the swing factor. Air revenue grew ~14% YoY in Q1'26 on +5% tonnage, driven by technology customers building AI infrastructure, plus pharma and aviation. But per-kilo profitability is volatile: management flagged an ~2-point air-margin decline in Q4'25 and then said margins had "recovered much of" that drop early in 2026. Watch whether tight capacity + high buy rates (e-commerce/tech surge) are squeezing the spread, and whether the Middle East conflict is re-tightening capacity and routing.</w:t>
      </w:r>
    </w:p>
    <w:p>
      <w:pPr>
        <w:pStyle w:val="BodyText"/>
      </w:pPr>
      <w:r>
        <w:rPr>
          <w:b/>
          <w:bCs/>
        </w:rPr>
        <w:t xml:space="preserve">2. Ocean — how bad, and is cost alignment working?</w:t>
      </w:r>
      <w:r>
        <w:t xml:space="preserve"> </w:t>
      </w:r>
      <w:r>
        <w:t xml:space="preserve">This is the persistent weak spot. Ocean revenue fell ~23% YoY in Q1'26 on both lower rates and volume; management said revenue-per-container dropped 41% YoY at the Q4'25 trough. The company expects ocean rates to stay soft through 2026 as Suez re-routing adds capacity. Key question: can disciplined cost cuts and favorable buy rates keep ocean gross margin from bleeding further?</w:t>
      </w:r>
    </w:p>
    <w:p>
      <w:pPr>
        <w:pStyle w:val="BodyText"/>
      </w:pPr>
      <w:r>
        <w:rPr>
          <w:b/>
          <w:bCs/>
        </w:rPr>
        <w:t xml:space="preserve">3. Customs brokerage &amp; "other" — the growth diversifier.</w:t>
      </w:r>
      <w:r>
        <w:t xml:space="preserve"> </w:t>
      </w:r>
      <w:r>
        <w:t xml:space="preserve">The bright spot. Customs, Transcon (road), warehousing &amp; distribution, and order management have all posted double-digit growth, fueled by (a) tariff complexity/entry volumes and (b) AI hyperscaler infrastructure logistics. Customs revenue rose ~17% YoY in Q1'26. This segment is the reason EXPD can grow EPS while ocean is in decline — its momentum is the single most important tell for the durability of the story.</w:t>
      </w:r>
    </w:p>
    <w:p>
      <w:r>
        <w:pict>
          <v:rect style="width:0;height:1.5pt" o:hralign="center" o:hrstd="t" o:hr="t"/>
        </w:pict>
      </w:r>
    </w:p>
    <w:bookmarkEnd w:id="13"/>
    <w:bookmarkStart w:id="14" w:name="also-watch"/>
    <w:p>
      <w:pPr>
        <w:pStyle w:val="Heading2"/>
      </w:pPr>
      <w:r>
        <w:t xml:space="preserve">Also watch</w:t>
      </w:r>
    </w:p>
    <w:p>
      <w:pPr>
        <w:pStyle w:val="Compact"/>
        <w:numPr>
          <w:ilvl w:val="0"/>
          <w:numId w:val="1002"/>
        </w:numPr>
      </w:pPr>
      <w:r>
        <w:rPr>
          <w:b/>
          <w:bCs/>
        </w:rPr>
        <w:t xml:space="preserve">Productivity / opex discipline.</w:t>
      </w:r>
      <w:r>
        <w:t xml:space="preserve"> </w:t>
      </w:r>
      <w:r>
        <w:t xml:space="preserve">Management hit its historical 30% net-revenue-to-operating-income efficiency target in Q1'26 with sequentially flat headcount, and said opex ex-transportation rose &lt;1% sequentially for two straight quarters. After a 2025 headcount build (~20,360 FTEs vs ~19,200 a year earlier, mostly in customs), the payoff — operating leverage — should show here.</w:t>
      </w:r>
    </w:p>
    <w:p>
      <w:pPr>
        <w:pStyle w:val="Compact"/>
        <w:numPr>
          <w:ilvl w:val="0"/>
          <w:numId w:val="1002"/>
        </w:numPr>
      </w:pPr>
      <w:r>
        <w:rPr>
          <w:b/>
          <w:bCs/>
        </w:rPr>
        <w:t xml:space="preserve">Capital returns.</w:t>
      </w:r>
      <w:r>
        <w:t xml:space="preserve"> </w:t>
      </w:r>
      <w:r>
        <w:t xml:space="preserve">Buybacks are a core part of the EPS algorithm: $288M repurchased in Q1'26, $875M returned in all of 2025, and the board authorized a new $3B program in February. Diluted share count has fallen to ~134M from ~142M two years ago. Watch the pace of repurchases and whether the semi-annual dividend gets raised.</w:t>
      </w:r>
    </w:p>
    <w:p>
      <w:pPr>
        <w:pStyle w:val="Compact"/>
        <w:numPr>
          <w:ilvl w:val="0"/>
          <w:numId w:val="1002"/>
        </w:numPr>
      </w:pPr>
      <w:r>
        <w:rPr>
          <w:b/>
          <w:bCs/>
        </w:rPr>
        <w:t xml:space="preserve">Tariff cross-currents.</w:t>
      </w:r>
      <w:r>
        <w:t xml:space="preserve"> </w:t>
      </w:r>
      <w:r>
        <w:t xml:space="preserve">Tariffs are a double-edged sword: they drive lucrative customs demand and complexity, but the policy backdrop is chaotic. The IEEPA tariffs were struck down earlier in 2026 and the administration has leaned on Section 301; states are now suing over the latest levies. Management has cited "tariff refund challenges" — a potential incremental revenue/complexity driver for the customs desk.</w:t>
      </w:r>
    </w:p>
    <w:p>
      <w:pPr>
        <w:pStyle w:val="Compact"/>
        <w:numPr>
          <w:ilvl w:val="0"/>
          <w:numId w:val="1002"/>
        </w:numPr>
      </w:pPr>
      <w:r>
        <w:rPr>
          <w:b/>
          <w:bCs/>
        </w:rPr>
        <w:t xml:space="preserve">Middle East disruption.</w:t>
      </w:r>
      <w:r>
        <w:t xml:space="preserve"> </w:t>
      </w:r>
      <w:r>
        <w:t xml:space="preserve">Q1'26 was "marked by significant disruption in the final month" from the regional conflict. Disruption can be a net positive for a nimble, non-asset forwarder (customers pay for solutions), but it complicates air capacity, fuel, and ocean transit.</w:t>
      </w:r>
    </w:p>
    <w:p>
      <w:r>
        <w:pict>
          <v:rect style="width:0;height:1.5pt" o:hralign="center" o:hrstd="t" o:hr="t"/>
        </w:pict>
      </w:r>
    </w:p>
    <w:bookmarkEnd w:id="14"/>
    <w:bookmarkStart w:id="15" w:name="X3ec02513d0079c6a3738cd0b015e7cdb668a0f3"/>
    <w:p>
      <w:pPr>
        <w:pStyle w:val="Heading2"/>
      </w:pPr>
      <w:r>
        <w:t xml:space="preserve">Valuation &amp; positioning — the risk in the setup</w:t>
      </w:r>
    </w:p>
    <w:p>
      <w:pPr>
        <w:pStyle w:val="FirstParagraph"/>
      </w:pPr>
      <w:r>
        <w:t xml:space="preserve">At **~</w:t>
      </w:r>
      <m:oMath>
        <m:r>
          <m:t>170.6</m:t>
        </m:r>
        <m:r>
          <m:rPr>
            <m:sty m:val="p"/>
          </m:rPr>
          <m:t>*</m:t>
        </m:r>
        <m:r>
          <m:rPr>
            <m:sty m:val="p"/>
          </m:rPr>
          <m:t>*</m:t>
        </m:r>
        <m:r>
          <m:rPr>
            <m:sty m:val="p"/>
          </m:rPr>
          <m:t>(</m:t>
        </m:r>
        <m:r>
          <m:t>A</m:t>
        </m:r>
        <m:r>
          <m:t>u</m:t>
        </m:r>
        <m:r>
          <m:t>g</m:t>
        </m:r>
        <m:r>
          <m:t>3</m:t>
        </m:r>
        <m:r>
          <m:t>c</m:t>
        </m:r>
        <m:r>
          <m:t>l</m:t>
        </m:r>
        <m:r>
          <m:t>o</m:t>
        </m:r>
        <m:r>
          <m:t>s</m:t>
        </m:r>
        <m:r>
          <m:t>e</m:t>
        </m:r>
        <m:r>
          <m:rPr>
            <m:sty m:val="p"/>
          </m:rPr>
          <m:t>)</m:t>
        </m:r>
        <m:r>
          <m:rPr>
            <m:sty m:val="p"/>
          </m:rPr>
          <m:t>,</m:t>
        </m:r>
        <m:r>
          <m:t>E</m:t>
        </m:r>
        <m:r>
          <m:t>X</m:t>
        </m:r>
        <m:r>
          <m:t>P</m:t>
        </m:r>
        <m:r>
          <m:t>D</m:t>
        </m:r>
        <m:r>
          <m:t>i</m:t>
        </m:r>
        <m:r>
          <m:t>s</m:t>
        </m:r>
        <m:r>
          <m:t>u</m:t>
        </m:r>
        <m:r>
          <m:t>p</m:t>
        </m:r>
        <m:r>
          <m:t>r</m:t>
        </m:r>
        <m:r>
          <m:t>o</m:t>
        </m:r>
        <m:r>
          <m:t>u</m:t>
        </m:r>
        <m:r>
          <m:t>g</m:t>
        </m:r>
        <m:r>
          <m:t>h</m:t>
        </m:r>
        <m:r>
          <m:t>l</m:t>
        </m:r>
        <m:r>
          <m:t>y</m:t>
        </m:r>
        <m:r>
          <m:rPr>
            <m:sty m:val="p"/>
          </m:rPr>
          <m:t>*</m:t>
        </m:r>
        <m:r>
          <m:rPr>
            <m:sty m:val="p"/>
          </m:rPr>
          <m:t>*</m:t>
        </m:r>
        <m:r>
          <m:t>46</m:t>
        </m:r>
      </m:oMath>
      <w:r>
        <w:t xml:space="preserve">183). On trailing EPS (~$6.18) that's roughly</w:t>
      </w:r>
      <w:r>
        <w:t xml:space="preserve"> </w:t>
      </w:r>
      <w:r>
        <w:rPr>
          <w:b/>
          <w:bCs/>
        </w:rPr>
        <w:t xml:space="preserve">27–28x</w:t>
      </w:r>
      <w:r>
        <w:t xml:space="preserve"> </w:t>
      </w:r>
      <w:r>
        <w:t xml:space="preserve">— a premium multiple for a mid-single-digit revenue grower.</w:t>
      </w:r>
    </w:p>
    <w:p>
      <w:pPr>
        <w:pStyle w:val="BodyText"/>
      </w:pPr>
      <w:r>
        <w:t xml:space="preserve">That combination — rich multiple, big run, four consecutive beats already priced in — means</w:t>
      </w:r>
      <w:r>
        <w:t xml:space="preserve"> </w:t>
      </w:r>
      <w:r>
        <w:rPr>
          <w:b/>
          <w:bCs/>
        </w:rPr>
        <w:t xml:space="preserve">the bar is high</w:t>
      </w:r>
      <w:r>
        <w:t xml:space="preserve">. A simple in-line print may not be enough; investors will want to see air-margin recovery holding, customs momentum intact, and continued opex discipline. The recent sharp drop in freight peer C.H. Robinson (CHRW fell from ~</w:t>
      </w:r>
      <m:oMath>
        <m:r>
          <m:t>205</m:t>
        </m:r>
        <m:r>
          <m:t>t</m:t>
        </m:r>
        <m:r>
          <m:t>o</m:t>
        </m:r>
        <m:r>
          <m:t> </m:t>
        </m:r>
      </m:oMath>
      <w:r>
        <w:t xml:space="preserve">147 over late July) is a cautionary reminder that this group can de-rate violently on any crack in the freight-cycle narrative.</w:t>
      </w:r>
    </w:p>
    <w:bookmarkEnd w:id="15"/>
    <w:bookmarkStart w:id="16" w:name="bottom-line"/>
    <w:p>
      <w:pPr>
        <w:pStyle w:val="Heading2"/>
      </w:pPr>
      <w:r>
        <w:t xml:space="preserve">Bottom line</w:t>
      </w:r>
    </w:p>
    <w:p>
      <w:pPr>
        <w:pStyle w:val="FirstParagraph"/>
      </w:pPr>
      <w:r>
        <w:t xml:space="preserve">The bull case rests on the</w:t>
      </w:r>
      <w:r>
        <w:t xml:space="preserve"> </w:t>
      </w:r>
      <w:r>
        <w:rPr>
          <w:b/>
          <w:bCs/>
        </w:rPr>
        <w:t xml:space="preserve">air (AI/tech) + customs/fee-based</w:t>
      </w:r>
      <w:r>
        <w:t xml:space="preserve"> </w:t>
      </w:r>
      <w:r>
        <w:t xml:space="preserve">engine more than offsetting</w:t>
      </w:r>
      <w:r>
        <w:t xml:space="preserve"> </w:t>
      </w:r>
      <w:r>
        <w:rPr>
          <w:b/>
          <w:bCs/>
        </w:rPr>
        <w:t xml:space="preserve">structurally weak ocean</w:t>
      </w:r>
      <w:r>
        <w:t xml:space="preserve">, amplified by productivity gains and heavy buybacks. Expeditors has consistently cleared the bar, but after a ~46% rally the reaction will hinge less on the headline beat and more on</w:t>
      </w:r>
      <w:r>
        <w:t xml:space="preserve"> </w:t>
      </w:r>
      <w:r>
        <w:rPr>
          <w:b/>
          <w:bCs/>
        </w:rPr>
        <w:t xml:space="preserve">segment margins (especially air), the ocean trajectory, and any color on how tariff and Middle East disruption are flowing through</w:t>
      </w:r>
      <w:r>
        <w:t xml:space="preserve"> </w:t>
      </w:r>
      <w:r>
        <w:t xml:space="preserve">— remembering there's no call, so the written commentary in the release is what the market trades on.</w:t>
      </w:r>
    </w:p>
    <w:p>
      <w:pPr>
        <w:pStyle w:val="BodyText"/>
      </w:pPr>
      <w:r>
        <w:rPr>
          <w:i/>
          <w:iCs/>
        </w:rPr>
        <w:t xml:space="preserve">Data from EXPD earnings releases (Q2 2025–Q1 2026) and market prices through Aug 3, 2026; consensus figures per published analyst/Zacks estimates.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2026-08-04T01:24:38Z</dcterms:created>
  <dcterms:modified xsi:type="dcterms:W3CDTF">2026-08-04T01:24:38Z</dcterms:modified>
</cp:coreProperties>
</file>

<file path=docProps/custom.xml><?xml version="1.0" encoding="utf-8"?>
<Properties xmlns="http://schemas.openxmlformats.org/officeDocument/2006/custom-properties" xmlns:vt="http://schemas.openxmlformats.org/officeDocument/2006/docPropsVTypes"/>
</file>