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pd-earnings-predictions--2026-08-04"/>
    <w:p>
      <w:pPr>
        <w:pStyle w:val="Heading1"/>
      </w:pPr>
      <w:r>
        <w:t xml:space="preserve">EXPD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~$1.77 vs. cons $1.68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~$2.95B vs. cons $2.90B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Ocean Freight Revenue/Margin (sequential per-container profitability)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~flat to +3% seq. margin improvement vs. cons expectation of ~flat (Hormuz rerouting benefit roughly offset by volume decline)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commentary/implied outlook (EXPD gives no formal guidance)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~$6.75 vs. cons $6.74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repurchase pace under $3B authorization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280</m:t>
              </m:r>
              <m:r>
                <m:rPr>
                  <m:sty m:val="p"/>
                </m:rPr>
                <m:t>−</m:t>
              </m:r>
              <m:r>
                <m:t>300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d</m:t>
              </m:r>
              <m:r>
                <m:t>p</m:t>
              </m:r>
              <m:r>
                <m:t>a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300M/quarter (FY2026, based on $3B over ~10 quarters)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-3.5% (FOLLOW-THROUGH)</w:t>
            </w:r>
          </w:p>
        </w:tc>
        <w:tc>
          <w:tcPr/>
          <w:p>
            <w:pPr>
              <w:pStyle w:val="Compact"/>
            </w:pPr>
            <w:r>
              <w:t xml:space="preserve">Even with a likely Q2 EPS/revenue beat, the stock is priced for perfection (avg PT ~</w:t>
            </w:r>
            <m:oMath>
              <m:r>
                <m:t>157</m:t>
              </m:r>
              <m:r>
                <m:t>v</m:t>
              </m:r>
              <m:r>
                <m:t>s</m:t>
              </m:r>
              <m:r>
                <m:t> </m:t>
              </m:r>
            </m:oMath>
            <w:r>
              <w:t xml:space="preserve">171 price, mixed Hold/Sell skew) and peers CHRW/UPS were punished 7-15% despite beats this season on out-quarter concerns. The key swing factor—ocean freight/Hormuz rerouting margin gains—is widely viewed as transient (management's own 10-Q flags reversal risk if Red Sea/Suez normalizes), so any second-half commentary suggesting ocean tailwinds fade or airfreight/tech tonnage normalizes should pull Q3/Q4 estimates down even if FY26 consensus holds near-term, driving continued downward drift over the week rather than a snap-back.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2026-08-04T01:22:05Z</dcterms:created>
  <dcterms:modified xsi:type="dcterms:W3CDTF">2026-08-04T01:22:05Z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