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ba18eab8a6b5e1234df5269f5b4d73fcbafc79c"/>
    <w:p>
      <w:pPr>
        <w:pStyle w:val="Heading1"/>
      </w:pPr>
      <w:r>
        <w:t xml:space="preserve">Expeditors International (EXPD) — Q2 2026 Earnings Preview</w:t>
      </w:r>
    </w:p>
    <w:p>
      <w:pPr>
        <w:pStyle w:val="FirstParagraph"/>
      </w:pPr>
      <w:r>
        <w:rPr>
          <w:b/>
          <w:bCs/>
        </w:rPr>
        <w:t xml:space="preserve">Report Date:</w:t>
      </w:r>
      <w:r>
        <w:t xml:space="preserve"> </w:t>
      </w:r>
      <w:r>
        <w:t xml:space="preserve">Tuesday, August 4, 2026 (before market open)</w:t>
      </w:r>
      <w:r>
        <w:t xml:space="preserve"> </w:t>
      </w:r>
      <w:r>
        <w:rPr>
          <w:b/>
          <w:bCs/>
        </w:rPr>
        <w:t xml:space="preserve">Current Price:</w:t>
      </w:r>
      <w:r>
        <w:t xml:space="preserve"> </w:t>
      </w:r>
      <w:r>
        <w:t xml:space="preserve">~$170.62 (as of 8/3/2026)</w:t>
      </w:r>
    </w:p>
    <w:p>
      <w:r>
        <w:pict>
          <v:rect style="width:0;height:1.5pt" o:hralign="center" o:hrstd="t" o:hr="t"/>
        </w:pict>
      </w:r>
    </w:p>
    <w:bookmarkStart w:id="9" w:name="Xccd0cd2a1e9c6ef2f2c7097f8f85f850d452fe8"/>
    <w:p>
      <w:pPr>
        <w:pStyle w:val="Heading2"/>
      </w:pPr>
      <w:r>
        <w:t xml:space="preserve">1. The Setup</w:t>
      </w:r>
    </w:p>
    <w:p>
      <w:pPr>
        <w:pStyle w:val="FirstParagraph"/>
      </w:pPr>
      <w:r>
        <w:t xml:space="preserve">Expeditors heads into tomorrow's print riding a nine-quarter beat streak and a stock that has run hard: shares are up from the low-</w:t>
      </w:r>
      <m:oMath>
        <m:r>
          <m:t>150</m:t>
        </m:r>
        <m:r>
          <m:t>s</m:t>
        </m:r>
        <m:r>
          <m:t>i</m:t>
        </m:r>
        <m:r>
          <m:t>n</m:t>
        </m:r>
        <m:r>
          <m:t>J</m:t>
        </m:r>
        <m:r>
          <m:t>a</m:t>
        </m:r>
        <m:r>
          <m:t>n</m:t>
        </m:r>
        <m:r>
          <m:t>u</m:t>
        </m:r>
        <m:r>
          <m:t>a</m:t>
        </m:r>
        <m:r>
          <m:t>r</m:t>
        </m:r>
        <m:r>
          <m:t>y</m:t>
        </m:r>
        <m:r>
          <m:t>t</m:t>
        </m:r>
        <m:r>
          <m:t>o</m:t>
        </m:r>
        <m:r>
          <m:t>t</m:t>
        </m:r>
        <m:r>
          <m:t>h</m:t>
        </m:r>
        <m:r>
          <m:t>e</m:t>
        </m:r>
        <m:r>
          <m:t>h</m:t>
        </m:r>
        <m:r>
          <m:t>i</m:t>
        </m:r>
        <m:r>
          <m:t>g</m:t>
        </m:r>
        <m:r>
          <m:t>h</m:t>
        </m:r>
        <m:r>
          <m:rPr>
            <m:sty m:val="p"/>
          </m:rPr>
          <m:t>−</m:t>
        </m:r>
      </m:oMath>
      <w:r>
        <w:t xml:space="preserve">160s/low-</w:t>
      </w:r>
      <m:oMath>
        <m:r>
          <m:t>170</m:t>
        </m:r>
        <m:r>
          <m:t>s</m:t>
        </m:r>
        <m:r>
          <m:t>t</m:t>
        </m:r>
        <m:r>
          <m:t>o</m:t>
        </m:r>
        <m:r>
          <m:t>d</m:t>
        </m:r>
        <m:r>
          <m:t>a</m:t>
        </m:r>
        <m:r>
          <m:t>y</m:t>
        </m:r>
        <m:r>
          <m:rPr>
            <m:sty m:val="p"/>
          </m:rPr>
          <m:t>,</m:t>
        </m:r>
        <m:r>
          <m:t>i</m:t>
        </m:r>
        <m:r>
          <m:t>n</m:t>
        </m:r>
        <m:r>
          <m:t>c</m:t>
        </m:r>
        <m:r>
          <m:t>l</m:t>
        </m:r>
        <m:r>
          <m:t>u</m:t>
        </m:r>
        <m:r>
          <m:t>d</m:t>
        </m:r>
        <m:r>
          <m:t>i</m:t>
        </m:r>
        <m:r>
          <m:t>n</m:t>
        </m:r>
        <m:r>
          <m:t>g</m:t>
        </m:r>
        <m:r>
          <m:t>a</m:t>
        </m:r>
        <m:r>
          <m:t>s</m:t>
        </m:r>
        <m:r>
          <m:t>h</m:t>
        </m:r>
        <m:r>
          <m:t>a</m:t>
        </m:r>
        <m:r>
          <m:t>r</m:t>
        </m:r>
        <m:r>
          <m:t>p</m:t>
        </m:r>
        <m:r>
          <m:t>m</m:t>
        </m:r>
        <m:r>
          <m:t>i</m:t>
        </m:r>
        <m:r>
          <m:t>d</m:t>
        </m:r>
        <m:r>
          <m:rPr>
            <m:sty m:val="p"/>
          </m:rPr>
          <m:t>−</m:t>
        </m:r>
        <m:r>
          <m:t>F</m:t>
        </m:r>
        <m:r>
          <m:t>e</m:t>
        </m:r>
        <m:r>
          <m:t>b</m:t>
        </m:r>
        <m:r>
          <m:t>r</m:t>
        </m:r>
        <m:r>
          <m:t>u</m:t>
        </m:r>
        <m:r>
          <m:t>a</m:t>
        </m:r>
        <m:r>
          <m:t>r</m:t>
        </m:r>
        <m:r>
          <m:t>y</m:t>
        </m:r>
        <m:r>
          <m:t>s</m:t>
        </m:r>
        <m:r>
          <m:t>e</m:t>
        </m:r>
        <m:r>
          <m:t>l</m:t>
        </m:r>
        <m:r>
          <m:t>l</m:t>
        </m:r>
        <m:r>
          <m:t>o</m:t>
        </m:r>
        <m:r>
          <m:t>f</m:t>
        </m:r>
        <m:r>
          <m:t>f</m:t>
        </m:r>
        <m:r>
          <m:rPr>
            <m:sty m:val="p"/>
          </m:rPr>
          <m:t>(</m:t>
        </m:r>
        <m:r>
          <m:t>d</m:t>
        </m:r>
        <m:r>
          <m:t>o</m:t>
        </m:r>
        <m:r>
          <m:t>w</m:t>
        </m:r>
        <m:r>
          <m:t>n</m:t>
        </m:r>
        <m:r>
          <m:t>t</m:t>
        </m:r>
        <m:r>
          <m:t>o</m:t>
        </m:r>
        <m:r>
          <m:t> </m:t>
        </m:r>
      </m:oMath>
      <w:r>
        <w:t xml:space="preserve">139) tied to the eruption of the Iran/Strait of Hormuz conflict, followed by a steady recovery and a fresh leg higher after the May Q1 report and again in July.</w:t>
      </w:r>
    </w:p>
    <w:p>
      <w:pPr>
        <w:pStyle w:val="BodyText"/>
      </w:pPr>
      <w:r>
        <w:rPr>
          <w:b/>
          <w:bCs/>
        </w:rPr>
        <w:t xml:space="preserve">Consensus for Q2 2026 (quarter ended June 30):</w:t>
      </w:r>
    </w:p>
    <w:p>
      <w:pPr>
        <w:pStyle w:val="Compact"/>
        <w:numPr>
          <w:ilvl w:val="0"/>
          <w:numId w:val="1001"/>
        </w:numPr>
      </w:pPr>
      <w:r>
        <w:t xml:space="preserve">EPS: ~</w:t>
      </w:r>
      <m:oMath>
        <m:r>
          <m:t>1.68</m:t>
        </m:r>
        <m:r>
          <m:rPr>
            <m:sty m:val="p"/>
          </m:rPr>
          <m:t>–</m:t>
        </m:r>
      </m:oMath>
      <w:r>
        <w:t xml:space="preserve">1.69 (vs. $1.34 a year ago, implying ~25% growth)</w:t>
      </w:r>
    </w:p>
    <w:p>
      <w:pPr>
        <w:pStyle w:val="Compact"/>
        <w:numPr>
          <w:ilvl w:val="0"/>
          <w:numId w:val="1001"/>
        </w:numPr>
      </w:pPr>
      <w:r>
        <w:t xml:space="preserve">Revenue: ~</w:t>
      </w:r>
      <m:oMath>
        <m:r>
          <m:t>2.90</m:t>
        </m:r>
        <m:r>
          <m:rPr>
            <m:sty m:val="p"/>
          </m:rPr>
          <m:t>–</m:t>
        </m:r>
      </m:oMath>
      <w:r>
        <w:t xml:space="preserve">2.91B (vs. Q2 2025, implying ~9.5% growth)</w:t>
      </w:r>
    </w:p>
    <w:p>
      <w:pPr>
        <w:pStyle w:val="Compact"/>
        <w:numPr>
          <w:ilvl w:val="0"/>
          <w:numId w:val="1001"/>
        </w:numPr>
      </w:pPr>
      <w:r>
        <w:t xml:space="preserve">Airfreight revenue estimate: ~</w:t>
      </w:r>
      <m:oMath>
        <m:r>
          <m:t>1.1</m:t>
        </m:r>
        <m:r>
          <m:t>B</m:t>
        </m:r>
        <m:r>
          <m:rPr>
            <m:sty m:val="p"/>
          </m:rPr>
          <m:t>(</m:t>
        </m:r>
        <m:r>
          <m:rPr>
            <m:sty m:val="p"/>
          </m:rPr>
          <m:t>+</m:t>
        </m:r>
        <m:r>
          <m:t>16.4</m:t>
        </m:r>
      </m:oMath>
      <w:r>
        <w:t xml:space="preserve">1.19B (+16.5% y/y)</w:t>
      </w:r>
    </w:p>
    <w:p>
      <w:pPr>
        <w:pStyle w:val="FirstParagraph"/>
      </w:pPr>
      <w:r>
        <w:t xml:space="preserve">Sentiment into the print is constructive but not one-sided: analysts have raised the consensus EPS figure from $1.64 to $1.68 in the last week alone, and the full-year 2026 consensus has climbed to $6.74 (from $6.66 a month ago). At the same time, EXPD's Zacks "Earnings ESP" sits at 0%, meaning the most recent analyst estimates aren't skewed meaningfully above the official consensus — a signal that doesn't clearly point to another blow-out beat despite the strong beat history.</w:t>
      </w:r>
    </w:p>
    <w:bookmarkEnd w:id="9"/>
    <w:bookmarkStart w:id="10" w:name="X6da08d69900dff87748098855cc15cd07fa8022"/>
    <w:p>
      <w:pPr>
        <w:pStyle w:val="Heading2"/>
      </w:pPr>
      <w:r>
        <w:t xml:space="preserve">2. What Q1 2026 Told Us</w:t>
      </w:r>
    </w:p>
    <w:p>
      <w:pPr>
        <w:pStyle w:val="FirstParagraph"/>
      </w:pPr>
      <w:r>
        <w:t xml:space="preserve">Expeditors' first quarter set a high bar and gave a clear read on where the puck is moving:</w:t>
      </w:r>
    </w:p>
    <w:p>
      <w:pPr>
        <w:pStyle w:val="Compact"/>
        <w:numPr>
          <w:ilvl w:val="0"/>
          <w:numId w:val="1002"/>
        </w:numPr>
      </w:pPr>
      <w:r>
        <w:t xml:space="preserve">Q1 EPS of $1.71 (+16% y/y) beat consensus of $1.33 by a wide margin; revenue rose 4% to $2.8B, operating income rose 11%, and net earnings rose 13%.</w:t>
      </w:r>
    </w:p>
    <w:p>
      <w:pPr>
        <w:pStyle w:val="Compact"/>
        <w:numPr>
          <w:ilvl w:val="0"/>
          <w:numId w:val="1002"/>
        </w:numPr>
      </w:pPr>
      <w:r>
        <w:rPr>
          <w:b/>
          <w:bCs/>
        </w:rPr>
        <w:t xml:space="preserve">Airfreight</w:t>
      </w:r>
      <w:r>
        <w:t xml:space="preserve"> </w:t>
      </w:r>
      <w:r>
        <w:t xml:space="preserve">was the standout, with tonnage up 5% and revenue up 14%, driven by continued strong demand from technology customers building out AI infrastructure.</w:t>
      </w:r>
    </w:p>
    <w:p>
      <w:pPr>
        <w:pStyle w:val="Compact"/>
        <w:numPr>
          <w:ilvl w:val="0"/>
          <w:numId w:val="1002"/>
        </w:numPr>
      </w:pPr>
      <w:r>
        <w:rPr>
          <w:b/>
          <w:bCs/>
        </w:rPr>
        <w:t xml:space="preserve">Customs brokerage and other services</w:t>
      </w:r>
      <w:r>
        <w:t xml:space="preserve"> </w:t>
      </w:r>
      <w:r>
        <w:t xml:space="preserve">(which includes road freight and warehousing/distribution) grew 17% on rising entry volumes, complexity, and tariff-related activity — this is the segment most levered to the messy U.S. trade-policy backdrop.</w:t>
      </w:r>
    </w:p>
    <w:p>
      <w:pPr>
        <w:pStyle w:val="Compact"/>
        <w:numPr>
          <w:ilvl w:val="0"/>
          <w:numId w:val="1002"/>
        </w:numPr>
      </w:pPr>
      <w:r>
        <w:rPr>
          <w:b/>
          <w:bCs/>
        </w:rPr>
        <w:t xml:space="preserve">Ocean freight</w:t>
      </w:r>
      <w:r>
        <w:t xml:space="preserve"> </w:t>
      </w:r>
      <w:r>
        <w:t xml:space="preserve">was the weak link, with revenue down 23% as capacity oversupply relative to demand pressured both sell and buy rates, compounded by a 4% drop in container volume.</w:t>
      </w:r>
    </w:p>
    <w:p>
      <w:pPr>
        <w:pStyle w:val="Compact"/>
        <w:numPr>
          <w:ilvl w:val="0"/>
          <w:numId w:val="1002"/>
        </w:numPr>
      </w:pPr>
      <w:r>
        <w:t xml:space="preserve">Management hit its 30% operating-efficiency target with headcount sequentially flat, and operating expenses (ex-transportation) grew less than 1% versus Q4 2025 for a second straight quarter — a productivity story helped by AI/technology investment.</w:t>
      </w:r>
    </w:p>
    <w:p>
      <w:pPr>
        <w:pStyle w:val="Compact"/>
        <w:numPr>
          <w:ilvl w:val="0"/>
          <w:numId w:val="1002"/>
        </w:numPr>
      </w:pPr>
      <w:r>
        <w:t xml:space="preserve">The company returned $288M to shareholders via buybacks in Q1 alone, part of a new $3B repurchase authorization approved by the board in February 2026.</w:t>
      </w:r>
    </w:p>
    <w:bookmarkEnd w:id="10"/>
    <w:bookmarkStart w:id="11" w:name="X5712ccad4e817b077bcc1f42cf17e835bb88127"/>
    <w:p>
      <w:pPr>
        <w:pStyle w:val="Heading2"/>
      </w:pPr>
      <w:r>
        <w:t xml:space="preserve">3. The Big Swing Factor for Q2: The Middle East Conflict and Ocean Rates</w:t>
      </w:r>
    </w:p>
    <w:p>
      <w:pPr>
        <w:pStyle w:val="FirstParagraph"/>
      </w:pPr>
      <w:r>
        <w:t xml:space="preserve">The single biggest change between Q1 and Q2 is the intensification of the Iran conflict and closure of the Strait of Hormuz, which began in late February 2026 and has now run through the entirety of the June quarter. In Q1, Expeditors said the financial impact on its Middle East, Africa &amp; India region was "not material," but the disruption has since escalated materially:</w:t>
      </w:r>
    </w:p>
    <w:p>
      <w:pPr>
        <w:pStyle w:val="BodyText"/>
      </w:pPr>
      <w:r>
        <w:t xml:space="preserve">Multiple industry trackers describe the Hormuz situation as having forced a "massive rerouting of commercial vessels around the Cape of Good Hope, adding 10 to 20 days to transit times and spiking ocean freight rates by up to 50% for US importers," a dynamic that intensified through Q2 and into July, when Asia-to-US container spot rates reportedly rose sharply off already-elevated levels.</w:t>
      </w:r>
    </w:p>
    <w:p>
      <w:pPr>
        <w:pStyle w:val="BodyText"/>
      </w:pPr>
      <w:r>
        <w:t xml:space="preserve">This is a double-edged sword for a non-asset-based forwarder like Expeditors:</w:t>
      </w:r>
    </w:p>
    <w:p>
      <w:pPr>
        <w:pStyle w:val="Compact"/>
        <w:numPr>
          <w:ilvl w:val="0"/>
          <w:numId w:val="1003"/>
        </w:numPr>
      </w:pPr>
      <w:r>
        <w:rPr>
          <w:b/>
          <w:bCs/>
        </w:rPr>
        <w:t xml:space="preserve">Upside:</w:t>
      </w:r>
      <w:r>
        <w:t xml:space="preserve"> </w:t>
      </w:r>
      <w:r>
        <w:t xml:space="preserve">Rate spikes and capacity dislocation can widen per-container/per-kilo gross margins for forwarders that can pass through buy-rate increases, potentially reversing the Q1 ocean-margin compression.</w:t>
      </w:r>
    </w:p>
    <w:p>
      <w:pPr>
        <w:pStyle w:val="Compact"/>
        <w:numPr>
          <w:ilvl w:val="0"/>
          <w:numId w:val="1003"/>
        </w:numPr>
      </w:pPr>
      <w:r>
        <w:rPr>
          <w:b/>
          <w:bCs/>
        </w:rPr>
        <w:t xml:space="preserve">Downside:</w:t>
      </w:r>
      <w:r>
        <w:t xml:space="preserve"> </w:t>
      </w:r>
      <w:r>
        <w:t xml:space="preserve">Extended transit times and elevated rates can also destroy volume/demand, and a sudden reopening of the Strait or Suez normalization could flood the market with released capacity and reverse pricing gains quickly — a risk flagged in Expeditors' own Q1 10-Q, which noted that resumption of safe Red Sea passage "will further depress sell and buy rates."</w:t>
      </w:r>
    </w:p>
    <w:p>
      <w:pPr>
        <w:pStyle w:val="FirstParagraph"/>
      </w:pPr>
      <w:r>
        <w:t xml:space="preserve">Investors should watch commentary on: (1) MAIR region financial impact (now a full quarter of disruption vs. one month in Q1), (2) airfreight capacity/fuel surcharges tied to the conflict, and (3) whether ocean profitability per container improved sequentially.</w:t>
      </w:r>
    </w:p>
    <w:bookmarkEnd w:id="11"/>
    <w:bookmarkStart w:id="12" w:name="Xa02aaa79f305d0f2b8d3cffadd408c2579268e2"/>
    <w:p>
      <w:pPr>
        <w:pStyle w:val="Heading2"/>
      </w:pPr>
      <w:r>
        <w:t xml:space="preserve">4. Tariffs and Customs Brokerage — Still the Structural Tailwind</w:t>
      </w:r>
    </w:p>
    <w:p>
      <w:pPr>
        <w:pStyle w:val="FirstParagraph"/>
      </w:pPr>
      <w:r>
        <w:t xml:space="preserve">The customs brokerage tailwind that drove Q1 growth remains firmly in place, but the legal backdrop is unusually fluid. The Q1 10-Q disclosed that the U.S. Supreme Court's February 2026 ruling invalidated many of the 2025 IEEPA tariffs (though not sectoral steel/aluminum tariffs) and opened the door to refund claims processed starting in April 2026. That created near-term work (refund processing, post-entry activity) for Expeditors' brokerage business, even as it introduces longer-term uncertainty about tariff durability.</w:t>
      </w:r>
    </w:p>
    <w:p>
      <w:pPr>
        <w:pStyle w:val="BodyText"/>
      </w:pPr>
      <w:r>
        <w:t xml:space="preserve">That uncertainty is ongoing: as recently as August 3, a group of 25 Democratic-led states sued to block a fresh round of Section 301 tariffs the administration imposed on goods from roughly 60 countries after the Supreme Court's earlier ruling. This "tariff whack-a-mole" dynamic — new tariffs replacing struck-down ones — has, if anything, kept customs complexity (and demand for Expeditors' brokerage expertise) elevated, which is a net positive for that segment even if it's a source of macro unpredictability for global trade broadly.</w:t>
      </w:r>
    </w:p>
    <w:bookmarkEnd w:id="12"/>
    <w:bookmarkStart w:id="13" w:name="Xde26bfa5f5008934602f6fcb9dbaca08db4fc1b"/>
    <w:p>
      <w:pPr>
        <w:pStyle w:val="Heading2"/>
      </w:pPr>
      <w:r>
        <w:t xml:space="preserve">5. Peer Read-Through</w:t>
      </w:r>
    </w:p>
    <w:p>
      <w:pPr>
        <w:pStyle w:val="FirstParagraph"/>
      </w:pPr>
      <w:r>
        <w:t xml:space="preserve">Freight-forwarding/logistics peers have posted a mixed bag this season, useful as a sentiment check:</w:t>
      </w:r>
    </w:p>
    <w:p>
      <w:pPr>
        <w:pStyle w:val="Compact"/>
        <w:numPr>
          <w:ilvl w:val="0"/>
          <w:numId w:val="1004"/>
        </w:numPr>
      </w:pPr>
      <w:r>
        <w:rPr>
          <w:b/>
          <w:bCs/>
        </w:rPr>
        <w:t xml:space="preserve">C.H. Robinson (CHRW)</w:t>
      </w:r>
      <w:r>
        <w:t xml:space="preserve"> </w:t>
      </w:r>
      <w:r>
        <w:t xml:space="preserve">beat Q2 2026 estimates with EPS of</w:t>
      </w:r>
      <w:r>
        <w:t xml:space="preserve"> </w:t>
      </w:r>
      <m:oMath>
        <m:r>
          <m:t>1.61</m:t>
        </m:r>
        <m:r>
          <m:rPr>
            <m:sty m:val="p"/>
          </m:rPr>
          <m:t>(</m:t>
        </m:r>
        <m:r>
          <m:t>v</m:t>
        </m:r>
        <m:r>
          <m:t>s</m:t>
        </m:r>
        <m:r>
          <m:rPr>
            <m:sty m:val="p"/>
          </m:rPr>
          <m:t>.</m:t>
        </m:r>
        <m:r>
          <m:t> </m:t>
        </m:r>
      </m:oMath>
      <w:r>
        <w:t xml:space="preserve">1.53 consensus) on revenue growth of 19.3% y/y, driven by AI-enabled productivity gains — yet CHRW shares still fell ~14.7% post-print, per one market roundup, underscoring how high the bar has become across the group.</w:t>
      </w:r>
    </w:p>
    <w:p>
      <w:pPr>
        <w:pStyle w:val="Compact"/>
        <w:numPr>
          <w:ilvl w:val="0"/>
          <w:numId w:val="1004"/>
        </w:numPr>
      </w:pPr>
      <w:r>
        <w:rPr>
          <w:b/>
          <w:bCs/>
        </w:rPr>
        <w:t xml:space="preserve">UPS</w:t>
      </w:r>
      <w:r>
        <w:t xml:space="preserve"> </w:t>
      </w:r>
      <w:r>
        <w:t xml:space="preserve">reported revenue up 7.6%, topping estimates by 4.4%, but shares fell about 7.4% on the print.</w:t>
      </w:r>
    </w:p>
    <w:p>
      <w:pPr>
        <w:pStyle w:val="Compact"/>
        <w:numPr>
          <w:ilvl w:val="0"/>
          <w:numId w:val="1004"/>
        </w:numPr>
      </w:pPr>
      <w:r>
        <w:t xml:space="preserve">Air freight/logistics stocks as a group are described as having "underperformed" recently, down roughly 5% on average over the trailing month even as Expeditors itself was up modestly over that stretch — suggesting EXPD has been a relative outperformer heading into its own report, which raises the bar for tomorrow's reaction.</w:t>
      </w:r>
    </w:p>
    <w:bookmarkEnd w:id="13"/>
    <w:bookmarkStart w:id="14" w:name="X5cd91b862674232ba13059af32ee9cd149ddd48"/>
    <w:p>
      <w:pPr>
        <w:pStyle w:val="Heading2"/>
      </w:pPr>
      <w:r>
        <w:t xml:space="preserve">6. Valuation and Analyst Positioning</w:t>
      </w:r>
    </w:p>
    <w:p>
      <w:pPr>
        <w:pStyle w:val="FirstParagraph"/>
      </w:pPr>
      <w:r>
        <w:t xml:space="preserve">This is arguably the most important nuance for investors: EXPD's fundamentals (accelerating EPS growth, buybacks, AI-driven productivity) look strong, but sell-side sentiment is notably split. One analyst tally shows only 4 "Strong Buy" ratings against 8 "Hold" and 5 "Strong Sell" recommendations among 17 covering analysts, and the average price target (~</w:t>
      </w:r>
      <m:oMath>
        <m:r>
          <m:t>157</m:t>
        </m:r>
        <m:r>
          <m:rPr>
            <m:sty m:val="p"/>
          </m:rPr>
          <m:t>)</m:t>
        </m:r>
        <m:r>
          <m:t>s</m:t>
        </m:r>
        <m:r>
          <m:t>i</m:t>
        </m:r>
        <m:r>
          <m:t>t</m:t>
        </m:r>
        <m:r>
          <m:t>s</m:t>
        </m:r>
        <m:r>
          <m:t>m</m:t>
        </m:r>
        <m:r>
          <m:t>e</m:t>
        </m:r>
        <m:r>
          <m:t>a</m:t>
        </m:r>
        <m:r>
          <m:t>n</m:t>
        </m:r>
        <m:r>
          <m:t>i</m:t>
        </m:r>
        <m:r>
          <m:t>n</m:t>
        </m:r>
        <m:r>
          <m:t>g</m:t>
        </m:r>
        <m:r>
          <m:t>f</m:t>
        </m:r>
        <m:r>
          <m:t>u</m:t>
        </m:r>
        <m:r>
          <m:t>l</m:t>
        </m:r>
        <m:r>
          <m:t>l</m:t>
        </m:r>
        <m:r>
          <m:t>y</m:t>
        </m:r>
        <m:r>
          <m:t>b</m:t>
        </m:r>
        <m:r>
          <m:t>e</m:t>
        </m:r>
        <m:r>
          <m:t>l</m:t>
        </m:r>
        <m:r>
          <m:t>o</m:t>
        </m:r>
        <m:r>
          <m:t>w</m:t>
        </m:r>
        <m:r>
          <m:t>t</m:t>
        </m:r>
        <m:r>
          <m:t>h</m:t>
        </m:r>
        <m:r>
          <m:t>e</m:t>
        </m:r>
        <m:r>
          <m:t>c</m:t>
        </m:r>
        <m:r>
          <m:t>u</m:t>
        </m:r>
        <m:r>
          <m:t>r</m:t>
        </m:r>
        <m:r>
          <m:t>r</m:t>
        </m:r>
        <m:r>
          <m:t>e</m:t>
        </m:r>
        <m:r>
          <m:t>n</m:t>
        </m:r>
        <m:r>
          <m:t>t</m:t>
        </m:r>
        <m:r>
          <m:t>s</m:t>
        </m:r>
        <m:r>
          <m:t>h</m:t>
        </m:r>
        <m:r>
          <m:t>a</m:t>
        </m:r>
        <m:r>
          <m:t>r</m:t>
        </m:r>
        <m:r>
          <m:t>e</m:t>
        </m:r>
        <m:r>
          <m:t>p</m:t>
        </m:r>
        <m:r>
          <m:t>r</m:t>
        </m:r>
        <m:r>
          <m:t>i</m:t>
        </m:r>
        <m:r>
          <m:t>c</m:t>
        </m:r>
        <m:r>
          <m:t>e</m:t>
        </m:r>
        <m:r>
          <m:rPr>
            <m:sty m:val="p"/>
          </m:rPr>
          <m:t>(</m:t>
        </m:r>
        <m:r>
          <m:t> </m:t>
        </m:r>
      </m:oMath>
      <w:r>
        <w:t xml:space="preserve">167–171) — implying the stock has already run ahead of where most analysts think fair value sits. Combined with a full-year 2026 consensus EPS of</w:t>
      </w:r>
      <w:r>
        <w:t xml:space="preserve"> </w:t>
      </w:r>
      <m:oMath>
        <m:r>
          <m:t>6.71</m:t>
        </m:r>
        <m:r>
          <m:rPr>
            <m:sty m:val="p"/>
          </m:rPr>
          <m:t>–</m:t>
        </m:r>
      </m:oMath>
      <w:r>
        <w:t xml:space="preserve">6.74 (a forward P/E in the mid-20s at current prices) and a modest ~0.9% dividend yield, this sets up a "priced for perfection" dynamic: a clean beat-and-raise may be needed just to hold the stock's recent gains, while any disappointment on ocean margins, tariff-related brokerage growth, or forward commentary on Middle East disruption could trigger an outsized negative reaction, as seen with CHRW and UPS this quarter despite their own beats.</w:t>
      </w:r>
    </w:p>
    <w:bookmarkEnd w:id="14"/>
    <w:bookmarkStart w:id="15" w:name="X9af82a26896115430b20c33672b97c90c8735d8"/>
    <w:p>
      <w:pPr>
        <w:pStyle w:val="Heading2"/>
      </w:pPr>
      <w:r>
        <w:t xml:space="preserve">7. Key Things to Watch on the Call</w:t>
      </w:r>
    </w:p>
    <w:p>
      <w:pPr>
        <w:pStyle w:val="Compact"/>
        <w:numPr>
          <w:ilvl w:val="0"/>
          <w:numId w:val="1005"/>
        </w:numPr>
      </w:pPr>
      <w:r>
        <w:rPr>
          <w:b/>
          <w:bCs/>
        </w:rPr>
        <w:t xml:space="preserve">Ocean freight trajectory</w:t>
      </w:r>
      <w:r>
        <w:t xml:space="preserve"> </w:t>
      </w:r>
      <w:r>
        <w:t xml:space="preserve">— did per-container profitability improve sequentially as Hormuz-driven rerouting tightened capacity, or did volume declines offset any margin gain?</w:t>
      </w:r>
    </w:p>
    <w:p>
      <w:pPr>
        <w:pStyle w:val="Compact"/>
        <w:numPr>
          <w:ilvl w:val="0"/>
          <w:numId w:val="1005"/>
        </w:numPr>
      </w:pPr>
      <w:r>
        <w:rPr>
          <w:b/>
          <w:bCs/>
        </w:rPr>
        <w:t xml:space="preserve">Airfreight/tech demand durability</w:t>
      </w:r>
      <w:r>
        <w:t xml:space="preserve"> </w:t>
      </w:r>
      <w:r>
        <w:t xml:space="preserve">— is AI-infrastructure-driven tonnage growth (strong in Q1) sustaining into Q2/Q3, or showing signs of normalization?</w:t>
      </w:r>
    </w:p>
    <w:p>
      <w:pPr>
        <w:pStyle w:val="Compact"/>
        <w:numPr>
          <w:ilvl w:val="0"/>
          <w:numId w:val="1005"/>
        </w:numPr>
      </w:pPr>
      <w:r>
        <w:rPr>
          <w:b/>
          <w:bCs/>
        </w:rPr>
        <w:t xml:space="preserve">Customs brokerage growth rate</w:t>
      </w:r>
      <w:r>
        <w:t xml:space="preserve"> </w:t>
      </w:r>
      <w:r>
        <w:t xml:space="preserve">— does double-digit growth persist amid the newest round of tariff litigation and Section 301 actions?</w:t>
      </w:r>
    </w:p>
    <w:p>
      <w:pPr>
        <w:pStyle w:val="Compact"/>
        <w:numPr>
          <w:ilvl w:val="0"/>
          <w:numId w:val="1005"/>
        </w:numPr>
      </w:pPr>
      <w:r>
        <w:rPr>
          <w:b/>
          <w:bCs/>
        </w:rPr>
        <w:t xml:space="preserve">Cost discipline / headcount</w:t>
      </w:r>
      <w:r>
        <w:t xml:space="preserve"> </w:t>
      </w:r>
      <w:r>
        <w:t xml:space="preserve">— did the company sustain sub-1% sequential opex growth and its 30% efficiency target for a third straight quarter?</w:t>
      </w:r>
    </w:p>
    <w:p>
      <w:pPr>
        <w:pStyle w:val="Compact"/>
        <w:numPr>
          <w:ilvl w:val="0"/>
          <w:numId w:val="1005"/>
        </w:numPr>
      </w:pPr>
      <w:r>
        <w:rPr>
          <w:b/>
          <w:bCs/>
        </w:rPr>
        <w:t xml:space="preserve">Capital returns pace</w:t>
      </w:r>
      <w:r>
        <w:t xml:space="preserve"> </w:t>
      </w:r>
      <w:r>
        <w:t xml:space="preserve">— buyback cadence relative to the new $3B authorization, and any commentary on dividend policy.</w:t>
      </w:r>
    </w:p>
    <w:p>
      <w:pPr>
        <w:pStyle w:val="Compact"/>
        <w:numPr>
          <w:ilvl w:val="0"/>
          <w:numId w:val="1005"/>
        </w:numPr>
      </w:pPr>
      <w:r>
        <w:rPr>
          <w:b/>
          <w:bCs/>
        </w:rPr>
        <w:t xml:space="preserve">Full-year 2026 guidance/commentary</w:t>
      </w:r>
      <w:r>
        <w:t xml:space="preserve"> </w:t>
      </w:r>
      <w:r>
        <w:t xml:space="preserve">— given the raised full-year consensus (~</w:t>
      </w:r>
      <m:oMath>
        <m:r>
          <m:t>6.71</m:t>
        </m:r>
        <m:r>
          <m:rPr>
            <m:sty m:val="p"/>
          </m:rPr>
          <m:t>–</m:t>
        </m:r>
      </m:oMath>
      <w:r>
        <w:t xml:space="preserve">6.74), any explicit or implicit management framing of second-half expectations will matter given how much good news may already be in the stock.</w:t>
      </w:r>
    </w:p>
    <w:p>
      <w:r>
        <w:pict>
          <v:rect style="width:0;height:1.5pt" o:hralign="center" o:hrstd="t" o:hr="t"/>
        </w:pict>
      </w:r>
    </w:p>
    <w:p>
      <w:pPr>
        <w:pStyle w:val="FirstParagraph"/>
      </w:pPr>
      <w:r>
        <w:rPr>
          <w:b/>
          <w:bCs/>
        </w:rPr>
        <w:t xml:space="preserve">Bottom line:</w:t>
      </w:r>
      <w:r>
        <w:t xml:space="preserve"> </w:t>
      </w:r>
      <w:r>
        <w:t xml:space="preserve">Expeditors goes into Q2 2026 earnings with strong momentum — a nine-quarter beat streak, AI/tech-driven airfreight demand, a tariff-complexity tailwind in customs brokerage, and disciplined cost control — but also with a stock that has outrun both its own historical valuation range and the average analyst price target. The wildcard this quarter is the ocean freight/Middle East conflict dynamic, which could be a net positive (margin capture from rate spikes) or a net negative (volume destruction, surcharge volatility) depending on how it shows up in the numbers. Given how peers CHRW and UPS were punished even after beating estimates, the market's reaction to guidance and forward commentary may matter more than the historical beat-and-raise pattern itself.</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2026-08-04T01:22:05Z</dcterms:created>
  <dcterms:modified xsi:type="dcterms:W3CDTF">2026-08-04T01:22:05Z</dcterms:modified>
</cp:coreProperties>
</file>

<file path=docProps/custom.xml><?xml version="1.0" encoding="utf-8"?>
<Properties xmlns="http://schemas.openxmlformats.org/officeDocument/2006/custom-properties" xmlns:vt="http://schemas.openxmlformats.org/officeDocument/2006/docPropsVTypes"/>
</file>