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expd-q2-2026-earnings-preview"/>
    <w:p>
      <w:pPr>
        <w:pStyle w:val="Heading1"/>
      </w:pPr>
      <w:r>
        <w:t xml:space="preserve">EXPD Q2 2026 Earnings Preview</w:t>
      </w:r>
    </w:p>
    <w:p>
      <w:pPr>
        <w:pStyle w:val="BlockText"/>
      </w:pPr>
      <w:r>
        <w:rPr>
          <w:b/>
          <w:bCs/>
        </w:rPr>
        <w:t xml:space="preserve">Timing note:</w:t>
      </w:r>
      <w:r>
        <w:t xml:space="preserve"> </w:t>
      </w:r>
      <w:r>
        <w:t xml:space="preserve">August 4, 2026 is</w:t>
      </w:r>
      <w:r>
        <w:t xml:space="preserve"> </w:t>
      </w:r>
      <w:r>
        <w:rPr>
          <w:b/>
          <w:bCs/>
        </w:rPr>
        <w:t xml:space="preserve">today</w:t>
      </w:r>
      <w:r>
        <w:t xml:space="preserve">, not tomorrow. Expeditors’ official calendar lists the Q2 release for August 4, and as of the latest check, the result had not yet appeared on its press-release page. (</w:t>
      </w:r>
      <w:hyperlink r:id="rId9">
        <w:r>
          <w:rPr>
            <w:rStyle w:val="Hyperlink"/>
          </w:rPr>
          <w:t xml:space="preserve">investor.expeditors.com</w:t>
        </w:r>
      </w:hyperlink>
      <w:r>
        <w:t xml:space="preserve">)</w:t>
      </w:r>
    </w:p>
    <w:bookmarkStart w:id="12" w:name="the-setup"/>
    <w:p>
      <w:pPr>
        <w:pStyle w:val="Heading2"/>
      </w:pPr>
      <w:r>
        <w:t xml:space="preserve">The setup</w:t>
      </w:r>
    </w:p>
    <w:p>
      <w:pPr>
        <w:pStyle w:val="FirstParagraph"/>
      </w:pPr>
      <w:r>
        <w:t xml:space="preserve">Expeditors enters the report with favorable earnings momentum but a demanding valuation. The central question is whether strength in</w:t>
      </w:r>
      <w:r>
        <w:t xml:space="preserve"> </w:t>
      </w:r>
      <w:r>
        <w:rPr>
          <w:b/>
          <w:bCs/>
        </w:rPr>
        <w:t xml:space="preserve">airfreight, customs brokerage and productivity</w:t>
      </w:r>
      <w:r>
        <w:t xml:space="preserve"> </w:t>
      </w:r>
      <w:r>
        <w:t xml:space="preserve">can continue to outweigh weak ocean fundamentals.</w:t>
      </w:r>
    </w:p>
    <w:p>
      <w:pPr>
        <w:pStyle w:val="BodyText"/>
      </w:pPr>
      <w:r>
        <w:t xml:space="preserve">Published estimates vary unusually widely: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Published expectation range</w:t>
            </w:r>
          </w:p>
        </w:tc>
        <w:tc>
          <w:tcPr/>
          <w:p>
            <w:pPr>
              <w:pStyle w:val="Compact"/>
              <w:jc w:val="right"/>
            </w:pPr>
            <w:r>
              <w:t xml:space="preserve">Q2 2025</w:t>
            </w:r>
          </w:p>
        </w:tc>
        <w:tc>
          <w:tcPr/>
          <w:p>
            <w:pPr>
              <w:pStyle w:val="Compact"/>
              <w:jc w:val="right"/>
            </w:pPr>
            <w:r>
              <w:t xml:space="preserve">Implied growth</w:t>
            </w:r>
          </w:p>
        </w:tc>
      </w:tr>
      <w:tr>
        <w:tc>
          <w:tcPr/>
          <w:p>
            <w:pPr>
              <w:pStyle w:val="Compact"/>
            </w:pPr>
            <w:r>
              <w:t xml:space="preserve">EPS</w:t>
            </w:r>
          </w:p>
        </w:tc>
        <w:tc>
          <w:tcPr/>
          <w:p>
            <w:pPr>
              <w:pStyle w:val="Compact"/>
              <w:jc w:val="right"/>
            </w:pPr>
            <m:oMath>
              <m:r>
                <m:t>1.64</m:t>
              </m:r>
              <m:r>
                <m:rPr>
                  <m:sty m:val="p"/>
                </m:rPr>
                <m:t>–</m:t>
              </m:r>
            </m:oMath>
            <w:r>
              <w:rPr>
                <w:b/>
                <w:bCs/>
              </w:rPr>
              <w:t xml:space="preserve">1.71</w:t>
            </w:r>
          </w:p>
        </w:tc>
        <w:tc>
          <w:tcPr/>
          <w:p>
            <w:pPr>
              <w:pStyle w:val="Compact"/>
              <w:jc w:val="right"/>
            </w:pPr>
            <w:r>
              <w:t xml:space="preserve">$1.34</w:t>
            </w:r>
          </w:p>
        </w:tc>
        <w:tc>
          <w:tcPr/>
          <w:p>
            <w:pPr>
              <w:pStyle w:val="Compact"/>
              <w:jc w:val="right"/>
            </w:pPr>
            <w:r>
              <w:t xml:space="preserve">22%–28%</w:t>
            </w:r>
          </w:p>
        </w:tc>
      </w:tr>
      <w:tr>
        <w:tc>
          <w:tcPr/>
          <w:p>
            <w:pPr>
              <w:pStyle w:val="Compact"/>
            </w:pPr>
            <w:r>
              <w:t xml:space="preserve">Revenue</w:t>
            </w:r>
          </w:p>
        </w:tc>
        <w:tc>
          <w:tcPr/>
          <w:p>
            <w:pPr>
              <w:pStyle w:val="Compact"/>
              <w:jc w:val="right"/>
            </w:pPr>
            <m:oMath>
              <m:r>
                <m:t>2.82</m:t>
              </m:r>
              <m:r>
                <m:t>B</m:t>
              </m:r>
              <m:r>
                <m:rPr>
                  <m:sty m:val="p"/>
                </m:rPr>
                <m:t>–</m:t>
              </m:r>
            </m:oMath>
            <w:r>
              <w:rPr>
                <w:b/>
                <w:bCs/>
              </w:rPr>
              <w:t xml:space="preserve">2.91B</w:t>
            </w:r>
          </w:p>
        </w:tc>
        <w:tc>
          <w:tcPr/>
          <w:p>
            <w:pPr>
              <w:pStyle w:val="Compact"/>
              <w:jc w:val="right"/>
            </w:pPr>
            <w:r>
              <w:t xml:space="preserve">$2.65B</w:t>
            </w:r>
          </w:p>
        </w:tc>
        <w:tc>
          <w:tcPr/>
          <w:p>
            <w:pPr>
              <w:pStyle w:val="Compact"/>
              <w:jc w:val="right"/>
            </w:pPr>
            <w:r>
              <w:t xml:space="preserve">6%–10%</w:t>
            </w:r>
          </w:p>
        </w:tc>
      </w:tr>
    </w:tbl>
    <w:p>
      <w:pPr>
        <w:pStyle w:val="BodyText"/>
      </w:pPr>
      <w:r>
        <w:t xml:space="preserve">A recently updated Zacks consensus stood at</w:t>
      </w:r>
      <w:r>
        <w:t xml:space="preserve"> </w:t>
      </w:r>
      <w:r>
        <w:rPr>
          <w:b/>
          <w:bCs/>
        </w:rPr>
        <w:t xml:space="preserve">$1.68</w:t>
      </w:r>
      <w:r>
        <w:t xml:space="preserve">, up from $1.64, while other aggregators were closer to $1.71 and $2.91 billion. Investors should therefore focus less on a few cents of “beat or miss” and more on the underlying operating metrics. (</w:t>
      </w:r>
      <w:hyperlink r:id="rId10">
        <w:r>
          <w:rPr>
            <w:rStyle w:val="Hyperlink"/>
          </w:rPr>
          <w:t xml:space="preserve">benzinga.com</w:t>
        </w:r>
      </w:hyperlink>
      <w:r>
        <w:t xml:space="preserve">)</w:t>
      </w:r>
    </w:p>
    <w:p>
      <w:pPr>
        <w:pStyle w:val="BodyText"/>
      </w:pPr>
      <w:r>
        <w:t xml:space="preserve">The year-ago comparison is manageable: Q2 2025 produced $1.34 of EPS, $248 million of operating income, and $2.65 billion of revenue, with both air and ocean volumes increasing 7%. (</w:t>
      </w:r>
      <w:hyperlink r:id="rId11">
        <w:r>
          <w:rPr>
            <w:rStyle w:val="Hyperlink"/>
          </w:rPr>
          <w:t xml:space="preserve">investor.expeditors.com</w:t>
        </w:r>
      </w:hyperlink>
      <w:r>
        <w:t xml:space="preserve">)</w:t>
      </w:r>
    </w:p>
    <w:bookmarkEnd w:id="12"/>
    <w:bookmarkStart w:id="22" w:name="what-matters-most"/>
    <w:p>
      <w:pPr>
        <w:pStyle w:val="Heading2"/>
      </w:pPr>
      <w:r>
        <w:t xml:space="preserve">What matters most</w:t>
      </w:r>
    </w:p>
    <w:bookmarkStart w:id="14" w:name="Xa0845dac6b00e079a1f6388fed2a513309964c8"/>
    <w:p>
      <w:pPr>
        <w:pStyle w:val="Heading3"/>
      </w:pPr>
      <w:r>
        <w:t xml:space="preserve">1. Net revenue and operating efficiency—not reported revenue</w:t>
      </w:r>
    </w:p>
    <w:p>
      <w:pPr>
        <w:pStyle w:val="FirstParagraph"/>
      </w:pPr>
      <w:r>
        <w:t xml:space="preserve">For a freight forwarder, gross revenue can move sharply with carrier rates and fuel surcharges without producing a proportional change in profit. The more useful measure is</w:t>
      </w:r>
      <w:r>
        <w:t xml:space="preserve"> </w:t>
      </w:r>
      <w:r>
        <w:rPr>
          <w:b/>
          <w:bCs/>
        </w:rPr>
        <w:t xml:space="preserve">net revenue</w:t>
      </w:r>
      <w:r>
        <w:t xml:space="preserve">, or revenue less purchased transportation and related costs.</w:t>
      </w:r>
    </w:p>
    <w:p>
      <w:pPr>
        <w:pStyle w:val="BodyText"/>
      </w:pPr>
      <w:r>
        <w:t xml:space="preserve">In Q1 2026:</w:t>
      </w:r>
    </w:p>
    <w:p>
      <w:pPr>
        <w:pStyle w:val="Compact"/>
        <w:numPr>
          <w:ilvl w:val="0"/>
          <w:numId w:val="1001"/>
        </w:numPr>
      </w:pPr>
      <w:r>
        <w:t xml:space="preserve">Reported revenue increased 4% to $2.78 billion.</w:t>
      </w:r>
    </w:p>
    <w:p>
      <w:pPr>
        <w:pStyle w:val="Compact"/>
        <w:numPr>
          <w:ilvl w:val="0"/>
          <w:numId w:val="1001"/>
        </w:numPr>
      </w:pPr>
      <w:r>
        <w:t xml:space="preserve">Net revenue was approximately</w:t>
      </w:r>
      <w:r>
        <w:t xml:space="preserve"> </w:t>
      </w:r>
      <w:r>
        <w:rPr>
          <w:b/>
          <w:bCs/>
        </w:rPr>
        <w:t xml:space="preserve">$972 million</w:t>
      </w:r>
      <w:r>
        <w:t xml:space="preserve">.</w:t>
      </w:r>
    </w:p>
    <w:p>
      <w:pPr>
        <w:pStyle w:val="Compact"/>
        <w:numPr>
          <w:ilvl w:val="0"/>
          <w:numId w:val="1001"/>
        </w:numPr>
      </w:pPr>
      <w:r>
        <w:t xml:space="preserve">Operating income increased 11% to $295 million.</w:t>
      </w:r>
    </w:p>
    <w:p>
      <w:pPr>
        <w:pStyle w:val="Compact"/>
        <w:numPr>
          <w:ilvl w:val="0"/>
          <w:numId w:val="1001"/>
        </w:numPr>
      </w:pPr>
      <w:r>
        <w:t xml:space="preserve">Operating income equaled roughly</w:t>
      </w:r>
      <w:r>
        <w:t xml:space="preserve"> </w:t>
      </w:r>
      <w:r>
        <w:rPr>
          <w:b/>
          <w:bCs/>
        </w:rPr>
        <w:t xml:space="preserve">30.3% of net revenue</w:t>
      </w:r>
      <w:r>
        <w:t xml:space="preserve">, returning to management’s historical 30% efficiency objective. (</w:t>
      </w:r>
      <w:hyperlink r:id="rId13">
        <w:r>
          <w:rPr>
            <w:rStyle w:val="Hyperlink"/>
          </w:rPr>
          <w:t xml:space="preserve">sec.gov</w:t>
        </w:r>
      </w:hyperlink>
      <w:r>
        <w:t xml:space="preserve">)</w:t>
      </w:r>
    </w:p>
    <w:p>
      <w:pPr>
        <w:pStyle w:val="FirstParagraph"/>
      </w:pPr>
      <w:r>
        <w:t xml:space="preserve">That makes the main earnings test straightforward:</w:t>
      </w:r>
    </w:p>
    <w:p>
      <w:pPr>
        <w:pStyle w:val="Compact"/>
        <w:numPr>
          <w:ilvl w:val="0"/>
          <w:numId w:val="1002"/>
        </w:numPr>
      </w:pPr>
      <w:r>
        <w:rPr>
          <w:b/>
          <w:bCs/>
        </w:rPr>
        <w:t xml:space="preserve">Bullish:</w:t>
      </w:r>
      <w:r>
        <w:t xml:space="preserve"> </w:t>
      </w:r>
      <w:r>
        <w:t xml:space="preserve">Net revenue grows faster than operating expenses and operating efficiency remains around or above 30%.</w:t>
      </w:r>
    </w:p>
    <w:p>
      <w:pPr>
        <w:pStyle w:val="Compact"/>
        <w:numPr>
          <w:ilvl w:val="0"/>
          <w:numId w:val="1002"/>
        </w:numPr>
      </w:pPr>
      <w:r>
        <w:rPr>
          <w:b/>
          <w:bCs/>
        </w:rPr>
        <w:t xml:space="preserve">Neutral:</w:t>
      </w:r>
      <w:r>
        <w:t xml:space="preserve"> </w:t>
      </w:r>
      <w:r>
        <w:t xml:space="preserve">Strong revenue but efficiency falls into the upper-20% range because of compensation and hiring.</w:t>
      </w:r>
    </w:p>
    <w:p>
      <w:pPr>
        <w:pStyle w:val="Compact"/>
        <w:numPr>
          <w:ilvl w:val="0"/>
          <w:numId w:val="1002"/>
        </w:numPr>
      </w:pPr>
      <w:r>
        <w:rPr>
          <w:b/>
          <w:bCs/>
        </w:rPr>
        <w:t xml:space="preserve">Bearish:</w:t>
      </w:r>
      <w:r>
        <w:t xml:space="preserve"> </w:t>
      </w:r>
      <w:r>
        <w:t xml:space="preserve">Purchased transportation costs rise faster than customer pricing, compressing net revenue and unit profitability.</w:t>
      </w:r>
    </w:p>
    <w:p>
      <w:pPr>
        <w:pStyle w:val="FirstParagraph"/>
      </w:pPr>
      <w:r>
        <w:t xml:space="preserve">A headline revenue beat caused mainly by fuel or freight-rate inflation would be lower quality than a smaller revenue beat accompanied by strong net revenue and operating income.</w:t>
      </w:r>
    </w:p>
    <w:bookmarkEnd w:id="14"/>
    <w:bookmarkStart w:id="17" w:name="X1b1567d8bfcabb2f893deabf74536eb44132e92"/>
    <w:p>
      <w:pPr>
        <w:pStyle w:val="Heading3"/>
      </w:pPr>
      <w:r>
        <w:t xml:space="preserve">2. Airfreight should remain the principal growth engine</w:t>
      </w:r>
    </w:p>
    <w:p>
      <w:pPr>
        <w:pStyle w:val="FirstParagraph"/>
      </w:pPr>
      <w:r>
        <w:t xml:space="preserve">Airfreight was the strongest transportation business in Q1: revenue increased 14%, tonnage rose 5%, and technology-customer demand remained strong. Management subsequently said hyperscaler volumes were still increasing as it transported servers and related equipment to markets including India, Southeast Asia, Europe and the Middle East. (</w:t>
      </w:r>
      <w:hyperlink r:id="rId13">
        <w:r>
          <w:rPr>
            <w:rStyle w:val="Hyperlink"/>
          </w:rPr>
          <w:t xml:space="preserve">sec.gov</w:t>
        </w:r>
      </w:hyperlink>
      <w:r>
        <w:t xml:space="preserve">)</w:t>
      </w:r>
    </w:p>
    <w:p>
      <w:pPr>
        <w:pStyle w:val="BodyText"/>
      </w:pPr>
      <w:r>
        <w:t xml:space="preserve">Industry conditions were also constructive during Q2. IATA reported that May global air cargo demand increased 6% year over year while capacity increased only 1.9%, contributing to firmer utilization and pricing. Asia-Pacific and North American markets provided most of the growth. (</w:t>
      </w:r>
      <w:hyperlink r:id="rId15">
        <w:r>
          <w:rPr>
            <w:rStyle w:val="Hyperlink"/>
          </w:rPr>
          <w:t xml:space="preserve">iata.org</w:t>
        </w:r>
      </w:hyperlink>
      <w:r>
        <w:t xml:space="preserve">)</w:t>
      </w:r>
    </w:p>
    <w:p>
      <w:pPr>
        <w:pStyle w:val="BodyText"/>
      </w:pPr>
      <w:r>
        <w:t xml:space="preserve">Watch for:</w:t>
      </w:r>
    </w:p>
    <w:p>
      <w:pPr>
        <w:pStyle w:val="Compact"/>
        <w:numPr>
          <w:ilvl w:val="0"/>
          <w:numId w:val="1003"/>
        </w:numPr>
      </w:pPr>
      <w:r>
        <w:t xml:space="preserve">Airfreight kilo growth versus Q1’s 5%.</w:t>
      </w:r>
    </w:p>
    <w:p>
      <w:pPr>
        <w:pStyle w:val="Compact"/>
        <w:numPr>
          <w:ilvl w:val="0"/>
          <w:numId w:val="1003"/>
        </w:numPr>
      </w:pPr>
      <w:r>
        <w:t xml:space="preserve">Gross profit per kilo and the balance between customer sell rates and carrier buy rates.</w:t>
      </w:r>
    </w:p>
    <w:p>
      <w:pPr>
        <w:pStyle w:val="Compact"/>
        <w:numPr>
          <w:ilvl w:val="0"/>
          <w:numId w:val="1003"/>
        </w:numPr>
      </w:pPr>
      <w:r>
        <w:t xml:space="preserve">Continued demand from technology and hyperscaler customers.</w:t>
      </w:r>
    </w:p>
    <w:p>
      <w:pPr>
        <w:pStyle w:val="Compact"/>
        <w:numPr>
          <w:ilvl w:val="0"/>
          <w:numId w:val="1003"/>
        </w:numPr>
      </w:pPr>
      <w:r>
        <w:t xml:space="preserve">Any impact from Middle East rerouting, constrained capacity and jet-fuel costs.</w:t>
      </w:r>
    </w:p>
    <w:p>
      <w:pPr>
        <w:pStyle w:val="FirstParagraph"/>
      </w:pPr>
      <w:r>
        <w:t xml:space="preserve">Management previously characterized the direct Middle East impact as relatively limited, although higher fuel prices, tighter air capacity and longer routes affected the market. A major issue is whether Expeditors successfully repriced those costs while protecting per-kilo profitability. (</w:t>
      </w:r>
      <w:hyperlink r:id="rId16">
        <w:r>
          <w:rPr>
            <w:rStyle w:val="Hyperlink"/>
          </w:rPr>
          <w:t xml:space="preserve">sec.gov</w:t>
        </w:r>
      </w:hyperlink>
      <w:r>
        <w:t xml:space="preserve">)</w:t>
      </w:r>
    </w:p>
    <w:bookmarkEnd w:id="17"/>
    <w:bookmarkStart w:id="18" w:name="Xa3eac32704dfed8a901775e330ccd08a9043e0d"/>
    <w:p>
      <w:pPr>
        <w:pStyle w:val="Heading3"/>
      </w:pPr>
      <w:r>
        <w:t xml:space="preserve">3. Customs brokerage could produce the highest-quality upside</w:t>
      </w:r>
    </w:p>
    <w:p>
      <w:pPr>
        <w:pStyle w:val="FirstParagraph"/>
      </w:pPr>
      <w:r>
        <w:t xml:space="preserve">Customs and other services may be more important to the investment case than gross freight revenue. Q1 customs, Transcon, distribution and order-management revenue each grew at double-digit rates, driven by higher entry volumes, greater trade complexity and technology customers. (</w:t>
      </w:r>
      <w:hyperlink r:id="rId13">
        <w:r>
          <w:rPr>
            <w:rStyle w:val="Hyperlink"/>
          </w:rPr>
          <w:t xml:space="preserve">sec.gov</w:t>
        </w:r>
      </w:hyperlink>
      <w:r>
        <w:t xml:space="preserve">)</w:t>
      </w:r>
    </w:p>
    <w:p>
      <w:pPr>
        <w:pStyle w:val="BodyText"/>
      </w:pPr>
      <w:r>
        <w:t xml:space="preserve">The May investor Q&amp;A strengthened that thesis:</w:t>
      </w:r>
    </w:p>
    <w:p>
      <w:pPr>
        <w:pStyle w:val="Compact"/>
        <w:numPr>
          <w:ilvl w:val="0"/>
          <w:numId w:val="1004"/>
        </w:numPr>
      </w:pPr>
      <w:r>
        <w:t xml:space="preserve">Management expected tariff refunds and other post-entry work to create a</w:t>
      </w:r>
      <w:r>
        <w:t xml:space="preserve"> </w:t>
      </w:r>
      <w:r>
        <w:rPr>
          <w:b/>
          <w:bCs/>
        </w:rPr>
        <w:t xml:space="preserve">significant increase in customs activity</w:t>
      </w:r>
      <w:r>
        <w:t xml:space="preserve">.</w:t>
      </w:r>
    </w:p>
    <w:p>
      <w:pPr>
        <w:pStyle w:val="Compact"/>
        <w:numPr>
          <w:ilvl w:val="0"/>
          <w:numId w:val="1004"/>
        </w:numPr>
      </w:pPr>
      <w:r>
        <w:t xml:space="preserve">Revenue growth was coming from both new business and charging for increasingly complex work.</w:t>
      </w:r>
    </w:p>
    <w:p>
      <w:pPr>
        <w:pStyle w:val="Compact"/>
        <w:numPr>
          <w:ilvl w:val="0"/>
          <w:numId w:val="1004"/>
        </w:numPr>
      </w:pPr>
      <w:r>
        <w:t xml:space="preserve">Technology and AI were beginning to improve customs productivity, although management emphasized that they do not replace compliance judgment.</w:t>
      </w:r>
    </w:p>
    <w:p>
      <w:pPr>
        <w:pStyle w:val="Compact"/>
        <w:numPr>
          <w:ilvl w:val="0"/>
          <w:numId w:val="1004"/>
        </w:numPr>
      </w:pPr>
      <w:r>
        <w:t xml:space="preserve">Refund-related activity had only started in late April, suggesting Q2 captured more of the benefit than Q1. (</w:t>
      </w:r>
      <w:hyperlink r:id="rId16">
        <w:r>
          <w:rPr>
            <w:rStyle w:val="Hyperlink"/>
          </w:rPr>
          <w:t xml:space="preserve">sec.gov</w:t>
        </w:r>
      </w:hyperlink>
      <w:r>
        <w:t xml:space="preserve">)</w:t>
      </w:r>
    </w:p>
    <w:p>
      <w:pPr>
        <w:pStyle w:val="FirstParagraph"/>
      </w:pPr>
      <w:r>
        <w:t xml:space="preserve">The best outcome would be double-digit customs growth with limited incremental hiring. That would demonstrate that technology investments are producing operating leverage rather than merely absorbing higher labor costs.</w:t>
      </w:r>
    </w:p>
    <w:bookmarkEnd w:id="18"/>
    <w:bookmarkStart w:id="20" w:name="X634c9d8278d046b6d144cc368a1297f859b1d8f"/>
    <w:p>
      <w:pPr>
        <w:pStyle w:val="Heading3"/>
      </w:pPr>
      <w:r>
        <w:t xml:space="preserve">4. Ocean remains the biggest risk—and the easiest comparison to misread</w:t>
      </w:r>
    </w:p>
    <w:p>
      <w:pPr>
        <w:pStyle w:val="FirstParagraph"/>
      </w:pPr>
      <w:r>
        <w:t xml:space="preserve">Ocean revenue fell sharply in Q1 as both pricing and volumes weakened. Management said in May that it saw</w:t>
      </w:r>
      <w:r>
        <w:t xml:space="preserve"> </w:t>
      </w:r>
      <w:r>
        <w:rPr>
          <w:b/>
          <w:bCs/>
        </w:rPr>
        <w:t xml:space="preserve">no indication of a near-term recovery</w:t>
      </w:r>
      <w:r>
        <w:t xml:space="preserve">, citing growing carrier capacity and insufficient demand. (</w:t>
      </w:r>
      <w:hyperlink r:id="rId13">
        <w:r>
          <w:rPr>
            <w:rStyle w:val="Hyperlink"/>
          </w:rPr>
          <w:t xml:space="preserve">sec.gov</w:t>
        </w:r>
      </w:hyperlink>
      <w:r>
        <w:t xml:space="preserve">)</w:t>
      </w:r>
    </w:p>
    <w:p>
      <w:pPr>
        <w:pStyle w:val="BodyText"/>
      </w:pPr>
      <w:r>
        <w:t xml:space="preserve">Market rates did rise during parts of Q2 because of fuel costs, early peak-season demand, congestion and supply-chain disruptions. However, the improvement may not indicate a durable demand recovery: Drewry’s index subsequently declined to $4,255 per 40-foot container by July 30 as Asia-Europe and trans-Pacific rates softened. (</w:t>
      </w:r>
      <w:hyperlink r:id="rId19">
        <w:r>
          <w:rPr>
            <w:rStyle w:val="Hyperlink"/>
          </w:rPr>
          <w:t xml:space="preserve">freightos.com</w:t>
        </w:r>
      </w:hyperlink>
      <w:r>
        <w:t xml:space="preserve">)</w:t>
      </w:r>
    </w:p>
    <w:p>
      <w:pPr>
        <w:pStyle w:val="BodyText"/>
      </w:pPr>
      <w:r>
        <w:t xml:space="preserve">Investors should separate:</w:t>
      </w:r>
    </w:p>
    <w:p>
      <w:pPr>
        <w:pStyle w:val="Compact"/>
        <w:numPr>
          <w:ilvl w:val="0"/>
          <w:numId w:val="1005"/>
        </w:numPr>
      </w:pPr>
      <w:r>
        <w:rPr>
          <w:b/>
          <w:bCs/>
        </w:rPr>
        <w:t xml:space="preserve">Ocean volume</w:t>
      </w:r>
    </w:p>
    <w:p>
      <w:pPr>
        <w:pStyle w:val="Compact"/>
        <w:numPr>
          <w:ilvl w:val="0"/>
          <w:numId w:val="1005"/>
        </w:numPr>
      </w:pPr>
      <w:r>
        <w:rPr>
          <w:b/>
          <w:bCs/>
        </w:rPr>
        <w:t xml:space="preserve">Customer sell rates</w:t>
      </w:r>
    </w:p>
    <w:p>
      <w:pPr>
        <w:pStyle w:val="Compact"/>
        <w:numPr>
          <w:ilvl w:val="0"/>
          <w:numId w:val="1005"/>
        </w:numPr>
      </w:pPr>
      <w:r>
        <w:rPr>
          <w:b/>
          <w:bCs/>
        </w:rPr>
        <w:t xml:space="preserve">Carrier buy rates</w:t>
      </w:r>
    </w:p>
    <w:p>
      <w:pPr>
        <w:pStyle w:val="Compact"/>
        <w:numPr>
          <w:ilvl w:val="0"/>
          <w:numId w:val="1005"/>
        </w:numPr>
      </w:pPr>
      <w:r>
        <w:rPr>
          <w:b/>
          <w:bCs/>
        </w:rPr>
        <w:t xml:space="preserve">Profit per container</w:t>
      </w:r>
    </w:p>
    <w:p>
      <w:pPr>
        <w:pStyle w:val="FirstParagraph"/>
      </w:pPr>
      <w:r>
        <w:t xml:space="preserve">Higher spot rates can lift reported revenue without helping earnings if Expeditors cannot maintain the spread between buy and sell prices. Conversely, ocean revenue could decline while profitability stabilizes through better procurement and cost control.</w:t>
      </w:r>
    </w:p>
    <w:bookmarkEnd w:id="20"/>
    <w:bookmarkStart w:id="21" w:name="Xb811f86c6e39758e5bbf227ab551d674e0aae75"/>
    <w:p>
      <w:pPr>
        <w:pStyle w:val="Heading3"/>
      </w:pPr>
      <w:r>
        <w:t xml:space="preserve">5. Expense discipline is essential</w:t>
      </w:r>
    </w:p>
    <w:p>
      <w:pPr>
        <w:pStyle w:val="FirstParagraph"/>
      </w:pPr>
      <w:r>
        <w:t xml:space="preserve">Q1 full-time-equivalent headcount was 20,361, approximately 6% above the prior year, while salaries and other operating expenses increased 9%. Management nevertheless kept headcount essentially flat sequentially and reached its 30% operating-efficiency target. (</w:t>
      </w:r>
      <w:hyperlink r:id="rId13">
        <w:r>
          <w:rPr>
            <w:rStyle w:val="Hyperlink"/>
          </w:rPr>
          <w:t xml:space="preserve">sec.gov</w:t>
        </w:r>
      </w:hyperlink>
      <w:r>
        <w:t xml:space="preserve">)</w:t>
      </w:r>
    </w:p>
    <w:p>
      <w:pPr>
        <w:pStyle w:val="BodyText"/>
      </w:pPr>
      <w:r>
        <w:t xml:space="preserve">The Q2 scorecard should include:</w:t>
      </w:r>
    </w:p>
    <w:p>
      <w:pPr>
        <w:pStyle w:val="Compact"/>
        <w:numPr>
          <w:ilvl w:val="0"/>
          <w:numId w:val="1006"/>
        </w:numPr>
      </w:pPr>
      <w:r>
        <w:t xml:space="preserve">Sequential headcount growth.</w:t>
      </w:r>
    </w:p>
    <w:p>
      <w:pPr>
        <w:pStyle w:val="Compact"/>
        <w:numPr>
          <w:ilvl w:val="0"/>
          <w:numId w:val="1006"/>
        </w:numPr>
      </w:pPr>
      <w:r>
        <w:t xml:space="preserve">Salaries and related expenses relative to net revenue.</w:t>
      </w:r>
    </w:p>
    <w:p>
      <w:pPr>
        <w:pStyle w:val="Compact"/>
        <w:numPr>
          <w:ilvl w:val="0"/>
          <w:numId w:val="1006"/>
        </w:numPr>
      </w:pPr>
      <w:r>
        <w:t xml:space="preserve">Evidence that customs and technology hiring is generating incremental profit.</w:t>
      </w:r>
    </w:p>
    <w:p>
      <w:pPr>
        <w:pStyle w:val="Compact"/>
        <w:numPr>
          <w:ilvl w:val="0"/>
          <w:numId w:val="1006"/>
        </w:numPr>
      </w:pPr>
      <w:r>
        <w:t xml:space="preserve">Whether operating expenses excluding transportation costs remain controlled.</w:t>
      </w:r>
    </w:p>
    <w:p>
      <w:pPr>
        <w:pStyle w:val="FirstParagraph"/>
      </w:pPr>
      <w:r>
        <w:t xml:space="preserve">Management’s stated goal is to decouple headcount growth from revenue growth. The market is likely to reward another quarter near 30% efficiency more than a revenue beat supported by substantial hiring. (</w:t>
      </w:r>
      <w:hyperlink r:id="rId16">
        <w:r>
          <w:rPr>
            <w:rStyle w:val="Hyperlink"/>
          </w:rPr>
          <w:t xml:space="preserve">sec.gov</w:t>
        </w:r>
      </w:hyperlink>
      <w:r>
        <w:t xml:space="preserve">)</w:t>
      </w:r>
    </w:p>
    <w:bookmarkEnd w:id="21"/>
    <w:bookmarkEnd w:id="22"/>
    <w:bookmarkStart w:id="24" w:name="capital-allocation-and-valuation"/>
    <w:p>
      <w:pPr>
        <w:pStyle w:val="Heading2"/>
      </w:pPr>
      <w:r>
        <w:t xml:space="preserve">Capital allocation and valuation</w:t>
      </w:r>
    </w:p>
    <w:p>
      <w:pPr>
        <w:pStyle w:val="FirstParagraph"/>
      </w:pPr>
      <w:r>
        <w:t xml:space="preserve">EXPD closed August 3 at approximately</w:t>
      </w:r>
      <w:r>
        <w:t xml:space="preserve"> </w:t>
      </w:r>
      <w:r>
        <w:rPr>
          <w:b/>
          <w:bCs/>
        </w:rPr>
        <w:t xml:space="preserve">$170.62</w:t>
      </w:r>
      <w:r>
        <w:t xml:space="preserve">, up about 15% in 2026 and 46% over the prior year. Using the recent $6.74 full-year consensus, the stock trades at roughly</w:t>
      </w:r>
      <w:r>
        <w:t xml:space="preserve"> </w:t>
      </w:r>
      <w:r>
        <w:rPr>
          <w:b/>
          <w:bCs/>
        </w:rPr>
        <w:t xml:space="preserve">25 times 2026 earnings</w:t>
      </w:r>
      <w:r>
        <w:t xml:space="preserve">; its trailing multiple is around 28 times. (</w:t>
      </w:r>
      <w:hyperlink r:id="rId23">
        <w:r>
          <w:rPr>
            <w:rStyle w:val="Hyperlink"/>
          </w:rPr>
          <w:t xml:space="preserve">zacks.com</w:t>
        </w:r>
      </w:hyperlink>
      <w:r>
        <w:t xml:space="preserve">)</w:t>
      </w:r>
    </w:p>
    <w:p>
      <w:pPr>
        <w:pStyle w:val="BodyText"/>
      </w:pPr>
      <w:r>
        <w:t xml:space="preserve">That valuation implies that investors already expect:</w:t>
      </w:r>
    </w:p>
    <w:p>
      <w:pPr>
        <w:pStyle w:val="Compact"/>
        <w:numPr>
          <w:ilvl w:val="0"/>
          <w:numId w:val="1007"/>
        </w:numPr>
      </w:pPr>
      <w:r>
        <w:t xml:space="preserve">Continued airfreight and customs strength.</w:t>
      </w:r>
    </w:p>
    <w:p>
      <w:pPr>
        <w:pStyle w:val="Compact"/>
        <w:numPr>
          <w:ilvl w:val="0"/>
          <w:numId w:val="1007"/>
        </w:numPr>
      </w:pPr>
      <w:r>
        <w:t xml:space="preserve">Sustainable productivity improvements.</w:t>
      </w:r>
    </w:p>
    <w:p>
      <w:pPr>
        <w:pStyle w:val="Compact"/>
        <w:numPr>
          <w:ilvl w:val="0"/>
          <w:numId w:val="1007"/>
        </w:numPr>
      </w:pPr>
      <w:r>
        <w:t xml:space="preserve">EPS growth supported by repurchases.</w:t>
      </w:r>
    </w:p>
    <w:p>
      <w:pPr>
        <w:pStyle w:val="Compact"/>
        <w:numPr>
          <w:ilvl w:val="0"/>
          <w:numId w:val="1007"/>
        </w:numPr>
      </w:pPr>
      <w:r>
        <w:t xml:space="preserve">No major deterioration in global trade volumes.</w:t>
      </w:r>
    </w:p>
    <w:p>
      <w:pPr>
        <w:pStyle w:val="FirstParagraph"/>
      </w:pPr>
      <w:r>
        <w:t xml:space="preserve">Expeditors repurchased $288 million of stock in Q1 at an average price of $145.90. Repurchases will again support EPS, but investors should compare the pace and average purchase price with today’s materially higher valuation. (</w:t>
      </w:r>
      <w:hyperlink r:id="rId13">
        <w:r>
          <w:rPr>
            <w:rStyle w:val="Hyperlink"/>
          </w:rPr>
          <w:t xml:space="preserve">sec.gov</w:t>
        </w:r>
      </w:hyperlink>
      <w:r>
        <w:t xml:space="preserve">)</w:t>
      </w:r>
    </w:p>
    <w:bookmarkEnd w:id="24"/>
    <w:bookmarkStart w:id="28" w:name="scenario-framework"/>
    <w:p>
      <w:pPr>
        <w:pStyle w:val="Heading2"/>
      </w:pPr>
      <w:r>
        <w:t xml:space="preserve">Scenario framework</w:t>
      </w:r>
    </w:p>
    <w:bookmarkStart w:id="25" w:name="bull-case"/>
    <w:p>
      <w:pPr>
        <w:pStyle w:val="Heading3"/>
      </w:pPr>
      <w:r>
        <w:t xml:space="preserve">Bull case</w:t>
      </w:r>
    </w:p>
    <w:p>
      <w:pPr>
        <w:pStyle w:val="Compact"/>
        <w:numPr>
          <w:ilvl w:val="0"/>
          <w:numId w:val="1008"/>
        </w:numPr>
      </w:pPr>
      <w:r>
        <w:t xml:space="preserve">EPS above roughly</w:t>
      </w:r>
      <w:r>
        <w:t xml:space="preserve"> </w:t>
      </w:r>
      <w:r>
        <w:rPr>
          <w:b/>
          <w:bCs/>
        </w:rPr>
        <w:t xml:space="preserve">$1.75</w:t>
      </w:r>
      <w:r>
        <w:t xml:space="preserve">.</w:t>
      </w:r>
    </w:p>
    <w:p>
      <w:pPr>
        <w:pStyle w:val="Compact"/>
        <w:numPr>
          <w:ilvl w:val="0"/>
          <w:numId w:val="1008"/>
        </w:numPr>
      </w:pPr>
      <w:r>
        <w:t xml:space="preserve">Air tonnage growth accelerates or remains solidly positive.</w:t>
      </w:r>
    </w:p>
    <w:p>
      <w:pPr>
        <w:pStyle w:val="Compact"/>
        <w:numPr>
          <w:ilvl w:val="0"/>
          <w:numId w:val="1008"/>
        </w:numPr>
      </w:pPr>
      <w:r>
        <w:t xml:space="preserve">Customs and other services maintain double-digit growth.</w:t>
      </w:r>
    </w:p>
    <w:p>
      <w:pPr>
        <w:pStyle w:val="Compact"/>
        <w:numPr>
          <w:ilvl w:val="0"/>
          <w:numId w:val="1008"/>
        </w:numPr>
      </w:pPr>
      <w:r>
        <w:t xml:space="preserve">Ocean profit per container stabilizes despite weak volumes.</w:t>
      </w:r>
    </w:p>
    <w:p>
      <w:pPr>
        <w:pStyle w:val="Compact"/>
        <w:numPr>
          <w:ilvl w:val="0"/>
          <w:numId w:val="1008"/>
        </w:numPr>
      </w:pPr>
      <w:r>
        <w:t xml:space="preserve">Operating efficiency remains at or above 30%.</w:t>
      </w:r>
    </w:p>
    <w:p>
      <w:pPr>
        <w:pStyle w:val="Compact"/>
        <w:numPr>
          <w:ilvl w:val="0"/>
          <w:numId w:val="1008"/>
        </w:numPr>
      </w:pPr>
      <w:r>
        <w:t xml:space="preserve">Management indicates technology investment is producing measurable operating leverage.</w:t>
      </w:r>
    </w:p>
    <w:bookmarkEnd w:id="25"/>
    <w:bookmarkStart w:id="26" w:name="base-case"/>
    <w:p>
      <w:pPr>
        <w:pStyle w:val="Heading3"/>
      </w:pPr>
      <w:r>
        <w:t xml:space="preserve">Base case</w:t>
      </w:r>
    </w:p>
    <w:p>
      <w:pPr>
        <w:pStyle w:val="Compact"/>
        <w:numPr>
          <w:ilvl w:val="0"/>
          <w:numId w:val="1009"/>
        </w:numPr>
      </w:pPr>
      <w:r>
        <w:t xml:space="preserve">EPS of approximately</w:t>
      </w:r>
      <w:r>
        <w:t xml:space="preserve"> </w:t>
      </w:r>
      <m:oMath>
        <m:r>
          <m:t>1.65</m:t>
        </m:r>
        <m:r>
          <m:rPr>
            <m:sty m:val="p"/>
          </m:rPr>
          <m:t>–</m:t>
        </m:r>
      </m:oMath>
      <w:r>
        <w:rPr>
          <w:b/>
          <w:bCs/>
        </w:rPr>
        <w:t xml:space="preserve">1.75</w:t>
      </w:r>
      <w:r>
        <w:t xml:space="preserve">.</w:t>
      </w:r>
    </w:p>
    <w:p>
      <w:pPr>
        <w:pStyle w:val="Compact"/>
        <w:numPr>
          <w:ilvl w:val="0"/>
          <w:numId w:val="1009"/>
        </w:numPr>
      </w:pPr>
      <w:r>
        <w:t xml:space="preserve">Air and customs offset continued ocean weakness.</w:t>
      </w:r>
    </w:p>
    <w:p>
      <w:pPr>
        <w:pStyle w:val="Compact"/>
        <w:numPr>
          <w:ilvl w:val="0"/>
          <w:numId w:val="1009"/>
        </w:numPr>
      </w:pPr>
      <w:r>
        <w:t xml:space="preserve">Net revenue grows at a mid-to-high-single-digit rate.</w:t>
      </w:r>
    </w:p>
    <w:p>
      <w:pPr>
        <w:pStyle w:val="Compact"/>
        <w:numPr>
          <w:ilvl w:val="0"/>
          <w:numId w:val="1009"/>
        </w:numPr>
      </w:pPr>
      <w:r>
        <w:t xml:space="preserve">Efficiency remains near 29%–30%.</w:t>
      </w:r>
    </w:p>
    <w:p>
      <w:pPr>
        <w:pStyle w:val="Compact"/>
        <w:numPr>
          <w:ilvl w:val="0"/>
          <w:numId w:val="1009"/>
        </w:numPr>
      </w:pPr>
      <w:r>
        <w:t xml:space="preserve">Commentary remains cautious because of tariffs, fuel prices and global trade uncertainty.</w:t>
      </w:r>
    </w:p>
    <w:bookmarkEnd w:id="26"/>
    <w:bookmarkStart w:id="27" w:name="bear-case"/>
    <w:p>
      <w:pPr>
        <w:pStyle w:val="Heading3"/>
      </w:pPr>
      <w:r>
        <w:t xml:space="preserve">Bear case</w:t>
      </w:r>
    </w:p>
    <w:p>
      <w:pPr>
        <w:pStyle w:val="Compact"/>
        <w:numPr>
          <w:ilvl w:val="0"/>
          <w:numId w:val="1010"/>
        </w:numPr>
      </w:pPr>
      <w:r>
        <w:t xml:space="preserve">EPS below</w:t>
      </w:r>
      <w:r>
        <w:t xml:space="preserve"> </w:t>
      </w:r>
      <w:r>
        <w:rPr>
          <w:b/>
          <w:bCs/>
        </w:rPr>
        <w:t xml:space="preserve">$1.60</w:t>
      </w:r>
      <w:r>
        <w:t xml:space="preserve">.</w:t>
      </w:r>
    </w:p>
    <w:p>
      <w:pPr>
        <w:pStyle w:val="Compact"/>
        <w:numPr>
          <w:ilvl w:val="0"/>
          <w:numId w:val="1010"/>
        </w:numPr>
      </w:pPr>
      <w:r>
        <w:t xml:space="preserve">Air buy-rate inflation compresses per-kilo margins.</w:t>
      </w:r>
    </w:p>
    <w:p>
      <w:pPr>
        <w:pStyle w:val="Compact"/>
        <w:numPr>
          <w:ilvl w:val="0"/>
          <w:numId w:val="1010"/>
        </w:numPr>
      </w:pPr>
      <w:r>
        <w:t xml:space="preserve">Ocean volumes deteriorate more than expected.</w:t>
      </w:r>
    </w:p>
    <w:p>
      <w:pPr>
        <w:pStyle w:val="Compact"/>
        <w:numPr>
          <w:ilvl w:val="0"/>
          <w:numId w:val="1010"/>
        </w:numPr>
      </w:pPr>
      <w:r>
        <w:t xml:space="preserve">Customs growth requires significant incremental hiring.</w:t>
      </w:r>
    </w:p>
    <w:p>
      <w:pPr>
        <w:pStyle w:val="Compact"/>
        <w:numPr>
          <w:ilvl w:val="0"/>
          <w:numId w:val="1010"/>
        </w:numPr>
      </w:pPr>
      <w:r>
        <w:t xml:space="preserve">Operating efficiency falls meaningfully below 29%.</w:t>
      </w:r>
    </w:p>
    <w:p>
      <w:pPr>
        <w:pStyle w:val="Compact"/>
        <w:numPr>
          <w:ilvl w:val="0"/>
          <w:numId w:val="1010"/>
        </w:numPr>
      </w:pPr>
      <w:r>
        <w:t xml:space="preserve">Management signals that Q2 benefited from temporary frontloading or disruption-driven freight.</w:t>
      </w:r>
    </w:p>
    <w:bookmarkEnd w:id="27"/>
    <w:bookmarkEnd w:id="28"/>
    <w:bookmarkStart w:id="29" w:name="bottom-line"/>
    <w:p>
      <w:pPr>
        <w:pStyle w:val="Heading2"/>
      </w:pPr>
      <w:r>
        <w:t xml:space="preserve">Bottom line</w:t>
      </w:r>
    </w:p>
    <w:p>
      <w:pPr>
        <w:pStyle w:val="FirstParagraph"/>
      </w:pPr>
      <w:r>
        <w:t xml:space="preserve">The most important question is not whether EXPD beats a published revenue estimate. It is whether the company can demonstrate that its recent earnings improvement is</w:t>
      </w:r>
      <w:r>
        <w:t xml:space="preserve"> </w:t>
      </w:r>
      <w:r>
        <w:rPr>
          <w:b/>
          <w:bCs/>
        </w:rPr>
        <w:t xml:space="preserve">structural rather than disruption-driven</w:t>
      </w:r>
      <w:r>
        <w:t xml:space="preserve">.</w:t>
      </w:r>
    </w:p>
    <w:p>
      <w:pPr>
        <w:pStyle w:val="BodyText"/>
      </w:pPr>
      <w:r>
        <w:t xml:space="preserve">A high-quality report would show:</w:t>
      </w:r>
    </w:p>
    <w:p>
      <w:pPr>
        <w:pStyle w:val="Compact"/>
        <w:numPr>
          <w:ilvl w:val="0"/>
          <w:numId w:val="1011"/>
        </w:numPr>
      </w:pPr>
      <w:r>
        <w:t xml:space="preserve">Continued airfreight volume and unit-profit strength.</w:t>
      </w:r>
    </w:p>
    <w:p>
      <w:pPr>
        <w:pStyle w:val="Compact"/>
        <w:numPr>
          <w:ilvl w:val="0"/>
          <w:numId w:val="1011"/>
        </w:numPr>
      </w:pPr>
      <w:r>
        <w:t xml:space="preserve">Durable, high-margin growth in customs and related services.</w:t>
      </w:r>
    </w:p>
    <w:p>
      <w:pPr>
        <w:pStyle w:val="Compact"/>
        <w:numPr>
          <w:ilvl w:val="0"/>
          <w:numId w:val="1011"/>
        </w:numPr>
      </w:pPr>
      <w:r>
        <w:t xml:space="preserve">Operating efficiency near 30%.</w:t>
      </w:r>
    </w:p>
    <w:p>
      <w:pPr>
        <w:pStyle w:val="Compact"/>
        <w:numPr>
          <w:ilvl w:val="0"/>
          <w:numId w:val="1011"/>
        </w:numPr>
      </w:pPr>
      <w:r>
        <w:t xml:space="preserve">Controlled headcount.</w:t>
      </w:r>
    </w:p>
    <w:p>
      <w:pPr>
        <w:pStyle w:val="Compact"/>
        <w:numPr>
          <w:ilvl w:val="0"/>
          <w:numId w:val="1011"/>
        </w:numPr>
      </w:pPr>
      <w:r>
        <w:t xml:space="preserve">Stable ocean profitability despite weak industry fundamentals.</w:t>
      </w:r>
    </w:p>
    <w:p>
      <w:pPr>
        <w:pStyle w:val="FirstParagraph"/>
      </w:pPr>
      <w:r>
        <w:t xml:space="preserve">With the shares already trading at roughly 25 times expected 2026 EPS, a modest headline beat may not be enough. The stock likely needs a clean combination of</w:t>
      </w:r>
      <w:r>
        <w:t xml:space="preserve"> </w:t>
      </w:r>
      <w:r>
        <w:rPr>
          <w:b/>
          <w:bCs/>
        </w:rPr>
        <w:t xml:space="preserve">volume growth, net-revenue expansion and operating leverage</w:t>
      </w:r>
      <w:r>
        <w:t xml:space="preserve"> </w:t>
      </w:r>
      <w:r>
        <w:t xml:space="preserve">to sustain its premium valuation.</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investor.expeditors.com/press-releases/2025/08-05-2025-133118527" TargetMode="External" /><Relationship Type="http://schemas.openxmlformats.org/officeDocument/2006/relationships/hyperlink" Id="rId9" Target="https://investor.expeditors.com/press-releases/2026" TargetMode="External" /><Relationship Type="http://schemas.openxmlformats.org/officeDocument/2006/relationships/hyperlink" Id="rId10" Target="https://www.benzinga.com/quote/EXPD/earnings?utm_source=openai" TargetMode="External" /><Relationship Type="http://schemas.openxmlformats.org/officeDocument/2006/relationships/hyperlink" Id="rId19" Target="https://www.freightos.com/?term=0&amp;type=BLOG_POST&amp;utm_source=openai" TargetMode="External" /><Relationship Type="http://schemas.openxmlformats.org/officeDocument/2006/relationships/hyperlink" Id="rId15" Target="https://www.iata.org/en/iata-repository/publications/economic-reports/air-cargo-market-analysis-may-2026/" TargetMode="External" /><Relationship Type="http://schemas.openxmlformats.org/officeDocument/2006/relationships/hyperlink" Id="rId13" Target="https://www.sec.gov/Archives/edgar/data/746515/000119312526205511/expd-ex99_1.htm" TargetMode="External" /><Relationship Type="http://schemas.openxmlformats.org/officeDocument/2006/relationships/hyperlink" Id="rId16" Target="https://www.sec.gov/Archives/edgar/data/746515/000119312526232738/expd-20260520.htm" TargetMode="External" /><Relationship Type="http://schemas.openxmlformats.org/officeDocument/2006/relationships/hyperlink" Id="rId23" Target="https://www.zacks.com/commentary/2958771/bull-of-the-day-expeditors-intl-expd?art_rec=commentary-bull_of_the_day-up_next-ID01-txt-2958771&amp;utm_source=openai" TargetMode="External" /></Relationships>
</file>

<file path=word/_rels/footnotes.xml.rels><?xml version="1.0" encoding="UTF-8"?><Relationships xmlns="http://schemas.openxmlformats.org/package/2006/relationships"><Relationship Type="http://schemas.openxmlformats.org/officeDocument/2006/relationships/hyperlink" Id="rId11" Target="https://investor.expeditors.com/press-releases/2025/08-05-2025-133118527" TargetMode="External" /><Relationship Type="http://schemas.openxmlformats.org/officeDocument/2006/relationships/hyperlink" Id="rId9" Target="https://investor.expeditors.com/press-releases/2026" TargetMode="External" /><Relationship Type="http://schemas.openxmlformats.org/officeDocument/2006/relationships/hyperlink" Id="rId10" Target="https://www.benzinga.com/quote/EXPD/earnings?utm_source=openai" TargetMode="External" /><Relationship Type="http://schemas.openxmlformats.org/officeDocument/2006/relationships/hyperlink" Id="rId19" Target="https://www.freightos.com/?term=0&amp;type=BLOG_POST&amp;utm_source=openai" TargetMode="External" /><Relationship Type="http://schemas.openxmlformats.org/officeDocument/2006/relationships/hyperlink" Id="rId15" Target="https://www.iata.org/en/iata-repository/publications/economic-reports/air-cargo-market-analysis-may-2026/" TargetMode="External" /><Relationship Type="http://schemas.openxmlformats.org/officeDocument/2006/relationships/hyperlink" Id="rId13" Target="https://www.sec.gov/Archives/edgar/data/746515/000119312526205511/expd-ex99_1.htm" TargetMode="External" /><Relationship Type="http://schemas.openxmlformats.org/officeDocument/2006/relationships/hyperlink" Id="rId16" Target="https://www.sec.gov/Archives/edgar/data/746515/000119312526232738/expd-20260520.htm" TargetMode="External" /><Relationship Type="http://schemas.openxmlformats.org/officeDocument/2006/relationships/hyperlink" Id="rId23" Target="https://www.zacks.com/commentary/2958771/bull-of-the-day-expeditors-intl-expd?art_rec=commentary-bull_of_the_day-up_next-ID01-txt-2958771&amp;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2026-08-04T01:20:36Z</dcterms:created>
  <dcterms:modified xsi:type="dcterms:W3CDTF">2026-08-04T01:20:36Z</dcterms:modified>
</cp:coreProperties>
</file>

<file path=docProps/custom.xml><?xml version="1.0" encoding="utf-8"?>
<Properties xmlns="http://schemas.openxmlformats.org/officeDocument/2006/custom-properties" xmlns:vt="http://schemas.openxmlformats.org/officeDocument/2006/docPropsVTypes"/>
</file>