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d-earnings-predictions--2026-08-04"/>
    <w:p>
      <w:pPr>
        <w:pStyle w:val="Heading1"/>
      </w:pPr>
      <w:r>
        <w:t xml:space="preserve">EXPD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~$2.87B vs. cons $2.92B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~$310M vs. cons $306M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airfreight-tonnage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~4% YoY vs. cons 5% YoY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customs brokerage and other-services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~12% YoY vs. cons 10% YoY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operating-margin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~10.6% vs. cons 10.6%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The ~$1.80 EPS result versus</w:t>
            </w:r>
            <w:r>
              <w:t xml:space="preserve"> </w:t>
            </w:r>
            <m:oMath>
              <m:r>
                <m:t>1.74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310M operating income versus</w:t>
            </w:r>
            <w:r>
              <w:t xml:space="preserve"> </w:t>
            </w:r>
            <m:oMath>
              <m:r>
                <m:t>306</m:t>
              </m:r>
              <m:r>
                <m:t>M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2.87B revenue miss versus $2.92B and softer ~4% Q3 air-volume outlook versus 5% limit out-period EPS revisions; customs strength offsets rather than fully eliminates weak ocean and volume concerns.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2026-08-04T01:19:17Z</dcterms:created>
  <dcterms:modified xsi:type="dcterms:W3CDTF">2026-08-04T01:19:17Z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