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c3492db7ec6aa1bb55501f3d3640ce056cb41f"/>
    <w:p>
      <w:pPr>
        <w:pStyle w:val="Heading1"/>
      </w:pPr>
      <w:r>
        <w:t xml:space="preserve">Expeditors International (NYSE: EXPD) —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August 4, 2026</w:t>
      </w:r>
      <w:r>
        <w:t xml:space="preserve">. The event date supplied is also</w:t>
      </w:r>
      <w:r>
        <w:t xml:space="preserve"> </w:t>
      </w:r>
      <w:r>
        <w:rPr>
          <w:b/>
          <w:bCs/>
        </w:rPr>
        <w:t xml:space="preserve">August 4, 2026</w:t>
      </w:r>
      <w:r>
        <w:t xml:space="preserve">, so EXPD is scheduled to report</w:t>
      </w:r>
      <w:r>
        <w:t xml:space="preserve"> </w:t>
      </w:r>
      <w:r>
        <w:rPr>
          <w:b/>
          <w:bCs/>
        </w:rPr>
        <w:t xml:space="preserve">today—not tomorrow</w:t>
      </w:r>
      <w:r>
        <w:t xml:space="preserve">—assuming the event-date information is correct.</w:t>
      </w:r>
    </w:p>
    <w:bookmarkStart w:id="9" w:name="Xb26ff6f3278c2fd363f15476dcc3b8b0cd566c4"/>
    <w:p>
      <w:pPr>
        <w:pStyle w:val="Heading2"/>
      </w:pPr>
      <w:r>
        <w:t xml:space="preserve">Investment view: the report is about</w:t>
      </w:r>
      <w:r>
        <w:t xml:space="preserve"> </w:t>
      </w:r>
      <w:r>
        <w:rPr>
          <w:b/>
          <w:bCs/>
        </w:rPr>
        <w:t xml:space="preserve">mix and margin</w:t>
      </w:r>
      <w:r>
        <w:t xml:space="preserve">, not reported revenue</w:t>
      </w:r>
    </w:p>
    <w:p>
      <w:pPr>
        <w:pStyle w:val="FirstParagraph"/>
      </w:pPr>
      <w:r>
        <w:t xml:space="preserve">Expeditors enters Q2 with two opposing forces: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Customs brokerage, technology-related logistics, and airfreight</w:t>
      </w:r>
      <w:r>
        <w:t xml:space="preserve"> </w:t>
      </w:r>
      <w:r>
        <w:t xml:space="preserve">have been supporting earnings through elevated trade complexity and demand for high-value technology shipments.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Ocean freight remains structurally difficult</w:t>
      </w:r>
      <w:r>
        <w:t xml:space="preserve">, with abundant capacity and weak pricing pressuring both revenue and profit per container.</w:t>
      </w:r>
    </w:p>
    <w:p>
      <w:pPr>
        <w:pStyle w:val="FirstParagraph"/>
      </w:pPr>
      <w:r>
        <w:t xml:space="preserve">The key question is whether Expeditors can again translate its flexible, non-asset-based model into earnings growth despite an uneven freight environment. Q1 showed that it can: EPS rose</w:t>
      </w:r>
      <w:r>
        <w:t xml:space="preserve"> </w:t>
      </w:r>
      <w:r>
        <w:rPr>
          <w:b/>
          <w:bCs/>
        </w:rPr>
        <w:t xml:space="preserve">16% year over year</w:t>
      </w:r>
      <w:r>
        <w:t xml:space="preserve"> </w:t>
      </w:r>
      <w:r>
        <w:t xml:space="preserve">even as revenue increased only</w:t>
      </w:r>
      <w:r>
        <w:t xml:space="preserve"> </w:t>
      </w:r>
      <w:r>
        <w:rPr>
          <w:b/>
          <w:bCs/>
        </w:rPr>
        <w:t xml:space="preserve">4%</w:t>
      </w:r>
      <w:r>
        <w:t xml:space="preserve">. For Q2, investors should focus less on headline sales—which can move sharply with freight rates passed through to customers—and more on gross-profit conversion, operating discipline, product mix, and management’s view of tariff-related brokerage activity.</w:t>
      </w:r>
    </w:p>
    <w:p>
      <w:r>
        <w:pict>
          <v:rect style="width:0;height:1.5pt" o:hralign="center" o:hrstd="t" o:hr="t"/>
        </w:pict>
      </w:r>
    </w:p>
    <w:bookmarkEnd w:id="9"/>
    <w:bookmarkStart w:id="10" w:name="what-happened-last-quarter"/>
    <w:p>
      <w:pPr>
        <w:pStyle w:val="Heading2"/>
      </w:pPr>
      <w:r>
        <w:t xml:space="preserve">What happened last quarter</w:t>
      </w:r>
    </w:p>
    <w:p>
      <w:pPr>
        <w:pStyle w:val="FirstParagraph"/>
      </w:pPr>
      <w:r>
        <w:t xml:space="preserve">In Q1 2026, Expeditors reported: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$2.78B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$294.8M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 attributable to shareholders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$229.6M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Airfreight tonnage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Ocean volume (FEU)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-4%</w:t>
            </w:r>
          </w:p>
        </w:tc>
      </w:tr>
    </w:tbl>
    <w:p>
      <w:pPr>
        <w:pStyle w:val="BodyText"/>
      </w:pPr>
      <w:r>
        <w:t xml:space="preserve">The operational takeaway was favorable: Q1 operating margin expanded to roughly</w:t>
      </w:r>
      <w:r>
        <w:t xml:space="preserve"> </w:t>
      </w:r>
      <w:r>
        <w:rPr>
          <w:b/>
          <w:bCs/>
        </w:rPr>
        <w:t xml:space="preserve">10.6%</w:t>
      </w:r>
      <w:r>
        <w:t xml:space="preserve">, from approximately</w:t>
      </w:r>
      <w:r>
        <w:t xml:space="preserve"> </w:t>
      </w:r>
      <w:r>
        <w:rPr>
          <w:b/>
          <w:bCs/>
        </w:rPr>
        <w:t xml:space="preserve">10.0%</w:t>
      </w:r>
      <w:r>
        <w:t xml:space="preserve"> </w:t>
      </w:r>
      <w:r>
        <w:t xml:space="preserve">a year earlier. Management attributed the improvement to stronger productivity, flat sequential headcount, disciplined costs, better airfreight unit profitability, and growth in customs brokerage and other services.</w:t>
      </w:r>
    </w:p>
    <w:p>
      <w:pPr>
        <w:pStyle w:val="BodyText"/>
      </w:pPr>
      <w:r>
        <w:t xml:space="preserve">The Q1 product mix also matters: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Airfreight revenue:</w:t>
      </w:r>
      <w:r>
        <w:t xml:space="preserve"> </w:t>
      </w:r>
      <w:r>
        <w:rPr>
          <w:b/>
          <w:bCs/>
        </w:rPr>
        <w:t xml:space="preserve">$1.03B</w:t>
      </w:r>
      <w:r>
        <w:t xml:space="preserve">, up</w:t>
      </w:r>
      <w:r>
        <w:t xml:space="preserve"> </w:t>
      </w:r>
      <w:r>
        <w:rPr>
          <w:b/>
          <w:bCs/>
        </w:rPr>
        <w:t xml:space="preserve">14%</w:t>
      </w:r>
      <w:r>
        <w:t xml:space="preserve"> </w:t>
      </w:r>
      <w:r>
        <w:t xml:space="preserve">year over year.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Ocean freight revenue:</w:t>
      </w:r>
      <w:r>
        <w:t xml:space="preserve"> </w:t>
      </w:r>
      <w:r>
        <w:rPr>
          <w:b/>
          <w:bCs/>
        </w:rPr>
        <w:t xml:space="preserve">$599M</w:t>
      </w:r>
      <w:r>
        <w:t xml:space="preserve">, down</w:t>
      </w:r>
      <w:r>
        <w:t xml:space="preserve"> </w:t>
      </w:r>
      <w:r>
        <w:rPr>
          <w:b/>
          <w:bCs/>
        </w:rPr>
        <w:t xml:space="preserve">23%</w:t>
      </w:r>
      <w:r>
        <w:t xml:space="preserve"> </w:t>
      </w:r>
      <w:r>
        <w:t xml:space="preserve">year over year.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Customs brokerage and other services:</w:t>
      </w:r>
      <w:r>
        <w:t xml:space="preserve"> </w:t>
      </w:r>
      <w:r>
        <w:rPr>
          <w:b/>
          <w:bCs/>
        </w:rPr>
        <w:t xml:space="preserve">$1.15B</w:t>
      </w:r>
      <w:r>
        <w:t xml:space="preserve">, up</w:t>
      </w:r>
      <w:r>
        <w:t xml:space="preserve"> </w:t>
      </w:r>
      <w:r>
        <w:rPr>
          <w:b/>
          <w:bCs/>
        </w:rPr>
        <w:t xml:space="preserve">17%</w:t>
      </w:r>
      <w:r>
        <w:t xml:space="preserve"> </w:t>
      </w:r>
      <w:r>
        <w:t xml:space="preserve">year over year.</w:t>
      </w:r>
    </w:p>
    <w:p>
      <w:pPr>
        <w:pStyle w:val="FirstParagraph"/>
      </w:pPr>
      <w:r>
        <w:t xml:space="preserve">That mix shift—away from low-rate ocean activity and toward customs, technology-related activity, and other value-added services—is the central underpinning of the current earnings story.</w:t>
      </w:r>
    </w:p>
    <w:p>
      <w:r>
        <w:pict>
          <v:rect style="width:0;height:1.5pt" o:hralign="center" o:hrstd="t" o:hr="t"/>
        </w:pict>
      </w:r>
    </w:p>
    <w:bookmarkEnd w:id="10"/>
    <w:bookmarkStart w:id="11" w:name="why-q2-may-be-more-challenging-than-q1"/>
    <w:p>
      <w:pPr>
        <w:pStyle w:val="Heading2"/>
      </w:pPr>
      <w:r>
        <w:t xml:space="preserve">Why Q2 may be more challenging than Q1</w:t>
      </w:r>
    </w:p>
    <w:p>
      <w:pPr>
        <w:pStyle w:val="FirstParagraph"/>
      </w:pPr>
      <w:r>
        <w:t xml:space="preserve">The Q2 2025 comparison is not especially easy. Last year’s Q2 delivered:</w:t>
      </w:r>
    </w:p>
    <w:p>
      <w:pPr>
        <w:pStyle w:val="Compact"/>
        <w:numPr>
          <w:ilvl w:val="0"/>
          <w:numId w:val="1003"/>
        </w:numPr>
      </w:pPr>
      <w:r>
        <w:t xml:space="preserve">Revenue of</w:t>
      </w:r>
      <w:r>
        <w:t xml:space="preserve"> </w:t>
      </w:r>
      <w:r>
        <w:rPr>
          <w:b/>
          <w:bCs/>
        </w:rPr>
        <w:t xml:space="preserve">$2.65B</w:t>
      </w:r>
      <w:r>
        <w:t xml:space="preserve"> </w:t>
      </w:r>
      <w:r>
        <w:t xml:space="preserve">(+9% YoY)</w:t>
      </w:r>
    </w:p>
    <w:p>
      <w:pPr>
        <w:pStyle w:val="Compact"/>
        <w:numPr>
          <w:ilvl w:val="0"/>
          <w:numId w:val="1003"/>
        </w:numPr>
      </w:pPr>
      <w:r>
        <w:t xml:space="preserve">Operating income of</w:t>
      </w:r>
      <w:r>
        <w:t xml:space="preserve"> </w:t>
      </w:r>
      <w:r>
        <w:rPr>
          <w:b/>
          <w:bCs/>
        </w:rPr>
        <w:t xml:space="preserve">$247.7M</w:t>
      </w:r>
      <w:r>
        <w:t xml:space="preserve"> </w:t>
      </w:r>
      <w:r>
        <w:t xml:space="preserve">(+11%)</w:t>
      </w:r>
    </w:p>
    <w:p>
      <w:pPr>
        <w:pStyle w:val="Compact"/>
        <w:numPr>
          <w:ilvl w:val="0"/>
          <w:numId w:val="1003"/>
        </w:numPr>
      </w:pPr>
      <w:r>
        <w:t xml:space="preserve">Diluted EPS of</w:t>
      </w:r>
      <w:r>
        <w:t xml:space="preserve"> </w:t>
      </w:r>
      <w:r>
        <w:rPr>
          <w:b/>
          <w:bCs/>
        </w:rPr>
        <w:t xml:space="preserve">$1.34</w:t>
      </w:r>
      <w:r>
        <w:t xml:space="preserve"> </w:t>
      </w:r>
      <w:r>
        <w:t xml:space="preserve">(+8%)</w:t>
      </w:r>
    </w:p>
    <w:p>
      <w:pPr>
        <w:pStyle w:val="Compact"/>
        <w:numPr>
          <w:ilvl w:val="0"/>
          <w:numId w:val="1003"/>
        </w:numPr>
      </w:pPr>
      <w:r>
        <w:t xml:space="preserve">Airfreight tonnage growth of</w:t>
      </w:r>
      <w:r>
        <w:t xml:space="preserve"> </w:t>
      </w:r>
      <w:r>
        <w:rPr>
          <w:b/>
          <w:bCs/>
        </w:rPr>
        <w:t xml:space="preserve">7%</w:t>
      </w:r>
    </w:p>
    <w:p>
      <w:pPr>
        <w:pStyle w:val="Compact"/>
        <w:numPr>
          <w:ilvl w:val="0"/>
          <w:numId w:val="1003"/>
        </w:numPr>
      </w:pPr>
      <w:r>
        <w:t xml:space="preserve">Ocean-volume growth of</w:t>
      </w:r>
      <w:r>
        <w:t xml:space="preserve"> </w:t>
      </w:r>
      <w:r>
        <w:rPr>
          <w:b/>
          <w:bCs/>
        </w:rPr>
        <w:t xml:space="preserve">7%</w:t>
      </w:r>
    </w:p>
    <w:p>
      <w:pPr>
        <w:pStyle w:val="FirstParagraph"/>
      </w:pPr>
      <w:r>
        <w:t xml:space="preserve">However, the composition of the base is important. Q2 2025 benefited from customers advancing shipments ahead of tariff deadlines, including strong air shipments of technology and other high-value goods and higher ocean volumes from South Asia. That creates a more demanding volume comparison, even if ocean pricing remains much weaker than it was a year ago.</w:t>
      </w:r>
    </w:p>
    <w:p>
      <w:pPr>
        <w:pStyle w:val="BodyText"/>
      </w:pPr>
      <w:r>
        <w:t xml:space="preserve">Moreover, Q1 management explicitly described the forward freight setting as highly unpredictable:</w:t>
      </w:r>
    </w:p>
    <w:p>
      <w:pPr>
        <w:pStyle w:val="Compact"/>
        <w:numPr>
          <w:ilvl w:val="0"/>
          <w:numId w:val="1004"/>
        </w:numPr>
      </w:pPr>
      <w:r>
        <w:t xml:space="preserve">Air capacity, routing, rates, and fuel availability may shift rapidly.</w:t>
      </w:r>
    </w:p>
    <w:p>
      <w:pPr>
        <w:pStyle w:val="Compact"/>
        <w:numPr>
          <w:ilvl w:val="0"/>
          <w:numId w:val="1004"/>
        </w:numPr>
      </w:pPr>
      <w:r>
        <w:t xml:space="preserve">Ocean freight remains pressured by excess capacity and weak pricing.</w:t>
      </w:r>
    </w:p>
    <w:p>
      <w:pPr>
        <w:pStyle w:val="Compact"/>
        <w:numPr>
          <w:ilvl w:val="0"/>
          <w:numId w:val="1004"/>
        </w:numPr>
      </w:pPr>
      <w:r>
        <w:t xml:space="preserve">Customs brokerage demand is expected to stay robust because of tariff complexity and potential refund-related work.</w:t>
      </w:r>
    </w:p>
    <w:p>
      <w:pPr>
        <w:pStyle w:val="FirstParagraph"/>
      </w:pPr>
      <w:r>
        <w:t xml:space="preserve">In other words, a Q2 beat could still come with soft revenue if weak ocean prices weigh on gross billings. Conversely, a revenue beat without margin conversion would be less compelling.</w:t>
      </w:r>
    </w:p>
    <w:p>
      <w:r>
        <w:pict>
          <v:rect style="width:0;height:1.5pt" o:hralign="center" o:hrstd="t" o:hr="t"/>
        </w:pict>
      </w:r>
    </w:p>
    <w:bookmarkEnd w:id="11"/>
    <w:bookmarkStart w:id="15" w:name="the-three-items-that-matter-most"/>
    <w:p>
      <w:pPr>
        <w:pStyle w:val="Heading2"/>
      </w:pPr>
      <w:r>
        <w:t xml:space="preserve">The three items that matter most</w:t>
      </w:r>
    </w:p>
    <w:bookmarkStart w:id="12" w:name="X7d878273c81471bf856af41c59374937c7e7bdb"/>
    <w:p>
      <w:pPr>
        <w:pStyle w:val="Heading3"/>
      </w:pPr>
      <w:r>
        <w:t xml:space="preserve">1. Customs brokerage growth and tariff-related complexity</w:t>
      </w:r>
    </w:p>
    <w:p>
      <w:pPr>
        <w:pStyle w:val="FirstParagraph"/>
      </w:pPr>
      <w:r>
        <w:t xml:space="preserve">This is probably the most important positive catalyst in the release.</w:t>
      </w:r>
    </w:p>
    <w:p>
      <w:pPr>
        <w:pStyle w:val="BodyText"/>
      </w:pPr>
      <w:r>
        <w:t xml:space="preserve">Customs brokerage and related services accounted for roughly</w:t>
      </w:r>
      <w:r>
        <w:t xml:space="preserve"> </w:t>
      </w:r>
      <w:r>
        <w:rPr>
          <w:b/>
          <w:bCs/>
        </w:rPr>
        <w:t xml:space="preserve">39% of 2025 revenue</w:t>
      </w:r>
      <w:r>
        <w:t xml:space="preserve">, and the business has become a more meaningful earnings stabilizer. In Q1, management cited higher customs-entry volumes, increasing complexity, tariff-related activity, pricing actions, and strong demand from hyperscalers and other high-value technology customers.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Growth in customs clearances and brokerage revenue;</w:t>
      </w:r>
    </w:p>
    <w:p>
      <w:pPr>
        <w:pStyle w:val="Compact"/>
        <w:numPr>
          <w:ilvl w:val="0"/>
          <w:numId w:val="1005"/>
        </w:numPr>
      </w:pPr>
      <w:r>
        <w:t xml:space="preserve">Commentary on the durability of tariff-refund and post-entry work;</w:t>
      </w:r>
    </w:p>
    <w:p>
      <w:pPr>
        <w:pStyle w:val="Compact"/>
        <w:numPr>
          <w:ilvl w:val="0"/>
          <w:numId w:val="1005"/>
        </w:numPr>
      </w:pPr>
      <w:r>
        <w:t xml:space="preserve">Whether new tariff actions are creating incremental demand or merely shifting timing;</w:t>
      </w:r>
    </w:p>
    <w:p>
      <w:pPr>
        <w:pStyle w:val="Compact"/>
        <w:numPr>
          <w:ilvl w:val="0"/>
          <w:numId w:val="1005"/>
        </w:numPr>
      </w:pPr>
      <w:r>
        <w:t xml:space="preserve">Any increase in working-capital needs from advancing duties and taxes for customers.</w:t>
      </w:r>
    </w:p>
    <w:p>
      <w:pPr>
        <w:pStyle w:val="FirstParagraph"/>
      </w:pPr>
      <w:r>
        <w:rPr>
          <w:b/>
          <w:bCs/>
        </w:rPr>
        <w:t xml:space="preserve">Bullish read:</w:t>
      </w:r>
      <w:r>
        <w:t xml:space="preserve"> </w:t>
      </w:r>
      <w:r>
        <w:t xml:space="preserve">brokerage remains double-digit growth, margins hold or expand, and management characterizes the opportunity pipeline as broad-based rather than event-driven.</w:t>
      </w:r>
    </w:p>
    <w:p>
      <w:pPr>
        <w:pStyle w:val="BodyText"/>
      </w:pPr>
      <w:r>
        <w:rPr>
          <w:b/>
          <w:bCs/>
        </w:rPr>
        <w:t xml:space="preserve">Risk:</w:t>
      </w:r>
      <w:r>
        <w:t xml:space="preserve"> </w:t>
      </w:r>
      <w:r>
        <w:t xml:space="preserve">tariff rules become simpler, customer import volumes soften, or the workload becomes labor-intensive enough that cost growth absorbs the revenue benefit.</w:t>
      </w:r>
    </w:p>
    <w:p>
      <w:r>
        <w:pict>
          <v:rect style="width:0;height:1.5pt" o:hralign="center" o:hrstd="t" o:hr="t"/>
        </w:pict>
      </w:r>
    </w:p>
    <w:bookmarkEnd w:id="12"/>
    <w:bookmarkStart w:id="13" w:name="Xaac95fea15a838dd865df90447b56e2e330b66d"/>
    <w:p>
      <w:pPr>
        <w:pStyle w:val="Heading3"/>
      </w:pPr>
      <w:r>
        <w:t xml:space="preserve">2. Airfreight volume and per-kilo profitability</w:t>
      </w:r>
    </w:p>
    <w:p>
      <w:pPr>
        <w:pStyle w:val="FirstParagraph"/>
      </w:pPr>
      <w:r>
        <w:t xml:space="preserve">Airfreight is the clearest volume-based growth engine. Q1 air tonnage increased</w:t>
      </w:r>
      <w:r>
        <w:t xml:space="preserve"> </w:t>
      </w:r>
      <w:r>
        <w:rPr>
          <w:b/>
          <w:bCs/>
        </w:rPr>
        <w:t xml:space="preserve">5%</w:t>
      </w:r>
      <w:r>
        <w:t xml:space="preserve">, supported by technology customers, while unit economics improved sequentially as sell and buy rates stabilized during the first two months of the quarter.</w:t>
      </w:r>
    </w:p>
    <w:p>
      <w:pPr>
        <w:pStyle w:val="BodyText"/>
      </w:pPr>
      <w:r>
        <w:t xml:space="preserve">For Q2, the most useful disclosures will be:</w:t>
      </w:r>
    </w:p>
    <w:p>
      <w:pPr>
        <w:pStyle w:val="Compact"/>
        <w:numPr>
          <w:ilvl w:val="0"/>
          <w:numId w:val="1006"/>
        </w:numPr>
      </w:pPr>
      <w:r>
        <w:t xml:space="preserve">Airfreight kilo growth by month—April, May, and June;</w:t>
      </w:r>
    </w:p>
    <w:p>
      <w:pPr>
        <w:pStyle w:val="Compact"/>
        <w:numPr>
          <w:ilvl w:val="0"/>
          <w:numId w:val="1006"/>
        </w:numPr>
      </w:pPr>
      <w:r>
        <w:t xml:space="preserve">Whether demand from hyperscalers, semiconductor, compute-hardware, and data-center customers remains strong;</w:t>
      </w:r>
    </w:p>
    <w:p>
      <w:pPr>
        <w:pStyle w:val="Compact"/>
        <w:numPr>
          <w:ilvl w:val="0"/>
          <w:numId w:val="1006"/>
        </w:numPr>
      </w:pPr>
      <w:r>
        <w:t xml:space="preserve">Trends in capacity, rates, and the spread between customer pricing and carrier cost;</w:t>
      </w:r>
    </w:p>
    <w:p>
      <w:pPr>
        <w:pStyle w:val="Compact"/>
        <w:numPr>
          <w:ilvl w:val="0"/>
          <w:numId w:val="1006"/>
        </w:numPr>
      </w:pPr>
      <w:r>
        <w:t xml:space="preserve">The impact of Middle East disruption or fuel-related pressure on routing and margins.</w:t>
      </w:r>
    </w:p>
    <w:p>
      <w:pPr>
        <w:pStyle w:val="FirstParagraph"/>
      </w:pPr>
      <w:r>
        <w:t xml:space="preserve">The favorable outcome is not necessarily sharply higher airfreight revenue. What matters is whether volume growth and the buy/sell-rate spread allow Expeditors to protect gross profit.</w:t>
      </w:r>
    </w:p>
    <w:p>
      <w:r>
        <w:pict>
          <v:rect style="width:0;height:1.5pt" o:hralign="center" o:hrstd="t" o:hr="t"/>
        </w:pict>
      </w:r>
    </w:p>
    <w:bookmarkEnd w:id="13"/>
    <w:bookmarkStart w:id="14" w:name="X743cac01b09933f3304cbbcec292dfbcc5f7b47"/>
    <w:p>
      <w:pPr>
        <w:pStyle w:val="Heading3"/>
      </w:pPr>
      <w:r>
        <w:t xml:space="preserve">3. Ocean pricing, volumes, and gross-profit resilience</w:t>
      </w:r>
    </w:p>
    <w:p>
      <w:pPr>
        <w:pStyle w:val="FirstParagraph"/>
      </w:pPr>
      <w:r>
        <w:t xml:space="preserve">Ocean remains the largest fundamental risk to the quarter. Management has consistently flagged too much global capacity relative to demand, particularly on Asia export routes. In Q1, ocean revenue fell</w:t>
      </w:r>
      <w:r>
        <w:t xml:space="preserve"> </w:t>
      </w:r>
      <w:r>
        <w:rPr>
          <w:b/>
          <w:bCs/>
        </w:rPr>
        <w:t xml:space="preserve">23%</w:t>
      </w:r>
      <w:r>
        <w:t xml:space="preserve"> </w:t>
      </w:r>
      <w:r>
        <w:t xml:space="preserve">and volume fell</w:t>
      </w:r>
      <w:r>
        <w:t xml:space="preserve"> </w:t>
      </w:r>
      <w:r>
        <w:rPr>
          <w:b/>
          <w:bCs/>
        </w:rPr>
        <w:t xml:space="preserve">4%</w:t>
      </w:r>
      <w:r>
        <w:t xml:space="preserve">, while the company cited lower average profitability per container.</w:t>
      </w:r>
    </w:p>
    <w:p>
      <w:pPr>
        <w:pStyle w:val="BodyText"/>
      </w:pPr>
      <w:r>
        <w:t xml:space="preserve">The Q2 setup is complicated:</w:t>
      </w:r>
    </w:p>
    <w:p>
      <w:pPr>
        <w:pStyle w:val="Compact"/>
        <w:numPr>
          <w:ilvl w:val="0"/>
          <w:numId w:val="1007"/>
        </w:numPr>
      </w:pPr>
      <w:r>
        <w:t xml:space="preserve">The prior-year comparison included tariff-driven shipment acceleration and</w:t>
      </w:r>
      <w:r>
        <w:t xml:space="preserve"> </w:t>
      </w:r>
      <w:r>
        <w:rPr>
          <w:b/>
          <w:bCs/>
        </w:rPr>
        <w:t xml:space="preserve">7%</w:t>
      </w:r>
      <w:r>
        <w:t xml:space="preserve"> </w:t>
      </w:r>
      <w:r>
        <w:t xml:space="preserve">ocean-volume growth.</w:t>
      </w:r>
    </w:p>
    <w:p>
      <w:pPr>
        <w:pStyle w:val="Compact"/>
        <w:numPr>
          <w:ilvl w:val="0"/>
          <w:numId w:val="1007"/>
        </w:numPr>
      </w:pPr>
      <w:r>
        <w:t xml:space="preserve">2026 ocean conditions have been shaped by weak rates and plentiful capacity.</w:t>
      </w:r>
    </w:p>
    <w:p>
      <w:pPr>
        <w:pStyle w:val="Compact"/>
        <w:numPr>
          <w:ilvl w:val="0"/>
          <w:numId w:val="1007"/>
        </w:numPr>
      </w:pPr>
      <w:r>
        <w:t xml:space="preserve">Any improvement in supply-chain conditions can shorten transit times and effectively release additional capacity, creating further rate pressure.</w:t>
      </w:r>
    </w:p>
    <w:p>
      <w:pPr>
        <w:pStyle w:val="FirstParagraph"/>
      </w:pPr>
      <w:r>
        <w:t xml:space="preserve">Investors should watch for the relationship between: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FEU volume growth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Ocean revenue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Transportation costs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Gross profit per container</w:t>
      </w:r>
    </w:p>
    <w:p>
      <w:pPr>
        <w:pStyle w:val="FirstParagraph"/>
      </w:pPr>
      <w:r>
        <w:t xml:space="preserve">A low or negative ocean-revenue number is not automatically negative if lower carrier buy rates, disciplined procurement, and limited overhead growth preserve gross profit. But a simultaneous decline in volumes and per-container profitability would be a clear concern.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6ba9f46849be0107fbb6ce38f48b12bebfb3688"/>
    <w:p>
      <w:pPr>
        <w:pStyle w:val="Heading2"/>
      </w:pPr>
      <w:r>
        <w:t xml:space="preserve">Expense discipline is a differentiator—and a key swing factor</w:t>
      </w:r>
    </w:p>
    <w:p>
      <w:pPr>
        <w:pStyle w:val="FirstParagraph"/>
      </w:pPr>
      <w:r>
        <w:t xml:space="preserve">Expeditors’ Q1 operating leverage was notable. Headcount was sequentially flat, while operating expenses excluding transportation costs rose by less than 1% sequentially. Management said productivity reached its historical</w:t>
      </w:r>
      <w:r>
        <w:t xml:space="preserve"> </w:t>
      </w:r>
      <w:r>
        <w:rPr>
          <w:b/>
          <w:bCs/>
        </w:rPr>
        <w:t xml:space="preserve">30%</w:t>
      </w:r>
      <w:r>
        <w:t xml:space="preserve"> </w:t>
      </w:r>
      <w:r>
        <w:t xml:space="preserve">operating-efficiency target.</w:t>
      </w:r>
    </w:p>
    <w:p>
      <w:pPr>
        <w:pStyle w:val="BodyText"/>
      </w:pPr>
      <w:r>
        <w:t xml:space="preserve">That is especially relevant because Expeditors has been investing in:</w:t>
      </w:r>
    </w:p>
    <w:p>
      <w:pPr>
        <w:pStyle w:val="Compact"/>
        <w:numPr>
          <w:ilvl w:val="0"/>
          <w:numId w:val="1009"/>
        </w:numPr>
      </w:pPr>
      <w:r>
        <w:t xml:space="preserve">Customs-brokerage capacity;</w:t>
      </w:r>
    </w:p>
    <w:p>
      <w:pPr>
        <w:pStyle w:val="Compact"/>
        <w:numPr>
          <w:ilvl w:val="0"/>
          <w:numId w:val="1009"/>
        </w:numPr>
      </w:pPr>
      <w:r>
        <w:t xml:space="preserve">Information systems and cybersecurity;</w:t>
      </w:r>
    </w:p>
    <w:p>
      <w:pPr>
        <w:pStyle w:val="Compact"/>
        <w:numPr>
          <w:ilvl w:val="0"/>
          <w:numId w:val="1009"/>
        </w:numPr>
      </w:pPr>
      <w:r>
        <w:t xml:space="preserve">Technology and AI applications;</w:t>
      </w:r>
    </w:p>
    <w:p>
      <w:pPr>
        <w:pStyle w:val="Compact"/>
        <w:numPr>
          <w:ilvl w:val="0"/>
          <w:numId w:val="1009"/>
        </w:numPr>
      </w:pPr>
      <w:r>
        <w:t xml:space="preserve">Personnel for higher-growth services and regions.</w:t>
      </w:r>
    </w:p>
    <w:p>
      <w:pPr>
        <w:pStyle w:val="FirstParagraph"/>
      </w:pPr>
      <w:r>
        <w:t xml:space="preserve">The company’s incentive-based compensation model also helps moderate fixed-cost risk: compensation is meaningfully linked to operating-unit profitability. Still, Q2 needs to show that incremental customs and technology investment is producing revenue and productivity rather than simply raising the expense base.</w:t>
      </w:r>
    </w:p>
    <w:p>
      <w:pPr>
        <w:pStyle w:val="BodyText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total headcount, salaries and related costs, operating margin, and management’s language around the pace of additional hiring.</w:t>
      </w:r>
    </w:p>
    <w:p>
      <w:r>
        <w:pict>
          <v:rect style="width:0;height:1.5pt" o:hralign="center" o:hrstd="t" o:hr="t"/>
        </w:pict>
      </w:r>
    </w:p>
    <w:bookmarkEnd w:id="16"/>
    <w:bookmarkStart w:id="17" w:name="capital-allocation-remains-a-support"/>
    <w:p>
      <w:pPr>
        <w:pStyle w:val="Heading2"/>
      </w:pPr>
      <w:r>
        <w:t xml:space="preserve">Capital allocation remains a support</w:t>
      </w:r>
    </w:p>
    <w:p>
      <w:pPr>
        <w:pStyle w:val="FirstParagraph"/>
      </w:pPr>
      <w:r>
        <w:t xml:space="preserve">Expeditors ended Q1 with</w:t>
      </w:r>
      <w:r>
        <w:t xml:space="preserve"> </w:t>
      </w:r>
      <m:oMath>
        <m:r>
          <m:t>1.32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n</m:t>
        </m:r>
        <m:r>
          <m:t>d</m:t>
        </m:r>
        <m:r>
          <m:t>c</m:t>
        </m:r>
        <m:r>
          <m:t>a</m:t>
        </m:r>
        <m:r>
          <m:t>s</m:t>
        </m:r>
        <m:r>
          <m:t>h</m:t>
        </m:r>
        <m:r>
          <m:t>e</m:t>
        </m:r>
        <m:r>
          <m:t>q</m:t>
        </m:r>
        <m:r>
          <m:t>u</m:t>
        </m:r>
        <m:r>
          <m:t>i</m:t>
        </m:r>
        <m:r>
          <m:t>v</m:t>
        </m:r>
        <m:r>
          <m:t>a</m:t>
        </m:r>
        <m:r>
          <m:t>l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n</m:t>
        </m:r>
        <m:r>
          <m:t>d</m:t>
        </m:r>
        <m:r>
          <m:t>l</m:t>
        </m:r>
        <m:r>
          <m:t>i</m:t>
        </m:r>
        <m:r>
          <m:t>m</m:t>
        </m:r>
        <m:r>
          <m:t>i</m:t>
        </m:r>
        <m:r>
          <m:t>t</m:t>
        </m:r>
        <m:r>
          <m:t>e</m:t>
        </m:r>
        <m:r>
          <m:t>d</m:t>
        </m:r>
        <m:r>
          <m:t>t</m:t>
        </m:r>
        <m:r>
          <m:t>r</m:t>
        </m:r>
        <m:r>
          <m:t>a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.</m:t>
        </m:r>
        <m:r>
          <m:t>I</m:t>
        </m:r>
        <m:r>
          <m:t>t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309M</w:t>
      </w:r>
      <w:r>
        <w:t xml:space="preserve"> </w:t>
      </w:r>
      <w:r>
        <w:t xml:space="preserve">of operating cash flow in Q1 and repurchased</w:t>
      </w:r>
      <w:r>
        <w:t xml:space="preserve"> </w:t>
      </w:r>
      <m:oMath>
        <m:r>
          <m:t>288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,</m:t>
        </m:r>
        <m:r>
          <m:t>o</m:t>
        </m:r>
        <m:r>
          <m:t>r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2.0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145.90</w:t>
      </w:r>
      <w:r>
        <w:t xml:space="preserve">.</w:t>
      </w:r>
    </w:p>
    <w:p>
      <w:pPr>
        <w:pStyle w:val="BodyText"/>
      </w:pPr>
      <w:r>
        <w:t xml:space="preserve">The board has authorized a new</w:t>
      </w:r>
      <w:r>
        <w:t xml:space="preserve"> </w:t>
      </w:r>
      <m:oMath>
        <m:r>
          <m:t>3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p</m:t>
        </m:r>
        <m:r>
          <m:t>r</m:t>
        </m:r>
        <m:r>
          <m:t>o</m:t>
        </m:r>
        <m:r>
          <m:t>g</m:t>
        </m:r>
        <m:r>
          <m:t>r</m:t>
        </m:r>
        <m:r>
          <m:t>a</m:t>
        </m:r>
        <m:r>
          <m:t>m</m:t>
        </m:r>
        <m:r>
          <m:t>t</m:t>
        </m:r>
        <m:r>
          <m:t>h</m:t>
        </m:r>
        <m:r>
          <m:t>a</m:t>
        </m:r>
        <m:r>
          <m:t>t</m:t>
        </m:r>
        <m:r>
          <m:t>b</m:t>
        </m:r>
        <m:r>
          <m:t>e</m:t>
        </m:r>
        <m:r>
          <m:t>c</m:t>
        </m:r>
        <m:r>
          <m:t>o</m:t>
        </m:r>
        <m:r>
          <m:t>m</m:t>
        </m:r>
        <m:r>
          <m:t>e</m:t>
        </m:r>
        <m:r>
          <m:t>s</m:t>
        </m:r>
        <m:r>
          <m:t>e</m:t>
        </m:r>
        <m:r>
          <m:t>f</m:t>
        </m:r>
        <m:r>
          <m:t>f</m:t>
        </m:r>
        <m:r>
          <m:t>e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t>o</m:t>
        </m:r>
        <m:r>
          <m:t>n</m:t>
        </m:r>
        <m:r>
          <m:t>c</m:t>
        </m:r>
        <m:r>
          <m:t>e</m:t>
        </m:r>
        <m:r>
          <m:t>t</m:t>
        </m:r>
        <m:r>
          <m:t>h</m:t>
        </m:r>
        <m:r>
          <m:t>e</m:t>
        </m:r>
        <m:r>
          <m:t>p</m:t>
        </m:r>
        <m:r>
          <m:t>r</m:t>
        </m:r>
        <m:r>
          <m:t>i</m:t>
        </m:r>
        <m:r>
          <m:t>o</m:t>
        </m:r>
        <m:r>
          <m:t>r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−</m:t>
        </m:r>
        <m:r>
          <m:t>c</m:t>
        </m:r>
        <m:r>
          <m:t>o</m:t>
        </m:r>
        <m:r>
          <m:t>u</m:t>
        </m:r>
        <m:r>
          <m:t>n</m:t>
        </m:r>
        <m:r>
          <m:t>t</m:t>
        </m:r>
        <m:r>
          <m:rPr>
            <m:sty m:val="p"/>
          </m:rPr>
          <m:t>−</m:t>
        </m:r>
        <m:r>
          <m:t>b</m:t>
        </m:r>
        <m:r>
          <m:t>a</m:t>
        </m:r>
        <m:r>
          <m:t>s</m:t>
        </m:r>
        <m:r>
          <m:t>e</m:t>
        </m:r>
        <m:r>
          <m:t>d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s</m:t>
        </m:r>
        <m:r>
          <m:t>e</m:t>
        </m:r>
        <m:r>
          <m:t>x</m:t>
        </m:r>
        <m:r>
          <m:t>h</m:t>
        </m:r>
        <m:r>
          <m:t>a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a</m:t>
        </m:r>
        <m:r>
          <m:t>l</m:t>
        </m:r>
        <m:r>
          <m:t>s</m:t>
        </m:r>
        <m:r>
          <m:t>o</m:t>
        </m:r>
        <m:r>
          <m:t>d</m:t>
        </m:r>
        <m:r>
          <m:t>e</m:t>
        </m:r>
        <m:r>
          <m:t>c</m:t>
        </m:r>
        <m:r>
          <m:t>l</m:t>
        </m:r>
        <m:r>
          <m:t>a</m:t>
        </m:r>
        <m:r>
          <m:t>r</m:t>
        </m:r>
        <m:r>
          <m:t>e</m:t>
        </m:r>
        <m:r>
          <m:t>d</m:t>
        </m:r>
        <m:r>
          <m:t>a</m:t>
        </m:r>
        <m:r>
          <m:t>s</m:t>
        </m:r>
        <m:r>
          <m:t>e</m:t>
        </m:r>
        <m:r>
          <m:t>m</m:t>
        </m:r>
        <m:r>
          <m:t>i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0.81 per share</w:t>
      </w:r>
      <w:r>
        <w:t xml:space="preserve"> </w:t>
      </w:r>
      <w:r>
        <w:t xml:space="preserve">in May.</w:t>
      </w:r>
    </w:p>
    <w:p>
      <w:pPr>
        <w:pStyle w:val="BodyText"/>
      </w:pPr>
      <w:r>
        <w:t xml:space="preserve">Buybacks are meaningful to the earnings-per-share setup: diluted shares outstanding in Q1 were</w:t>
      </w:r>
      <w:r>
        <w:t xml:space="preserve"> </w:t>
      </w:r>
      <w:r>
        <w:rPr>
          <w:b/>
          <w:bCs/>
        </w:rPr>
        <w:t xml:space="preserve">134.1M</w:t>
      </w:r>
      <w:r>
        <w:t xml:space="preserve">, down from</w:t>
      </w:r>
      <w:r>
        <w:t xml:space="preserve"> </w:t>
      </w:r>
      <w:r>
        <w:rPr>
          <w:b/>
          <w:bCs/>
        </w:rPr>
        <w:t xml:space="preserve">138.4M</w:t>
      </w:r>
      <w:r>
        <w:t xml:space="preserve"> </w:t>
      </w:r>
      <w:r>
        <w:t xml:space="preserve">a year earlier. Continued repurchases can cushion EPS even if operating-income growth moderates.</w:t>
      </w:r>
    </w:p>
    <w:p>
      <w:r>
        <w:pict>
          <v:rect style="width:0;height:1.5pt" o:hralign="center" o:hrstd="t" o:hr="t"/>
        </w:pict>
      </w:r>
    </w:p>
    <w:bookmarkEnd w:id="17"/>
    <w:bookmarkStart w:id="18" w:name="stock-context-going-into-the-report"/>
    <w:p>
      <w:pPr>
        <w:pStyle w:val="Heading2"/>
      </w:pPr>
      <w:r>
        <w:t xml:space="preserve">Stock context going into the report</w:t>
      </w:r>
    </w:p>
    <w:p>
      <w:pPr>
        <w:pStyle w:val="FirstParagraph"/>
      </w:pPr>
      <w:r>
        <w:t xml:space="preserve">EXPD closed at</w:t>
      </w:r>
      <w:r>
        <w:t xml:space="preserve"> </w:t>
      </w:r>
      <m:oMath>
        <m:r>
          <m:t>170.62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2.3</m:t>
        </m:r>
      </m:oMath>
      <w:r>
        <w:rPr>
          <w:b/>
          <w:bCs/>
        </w:rPr>
        <w:t xml:space="preserve">166.81 on July 1</w:t>
      </w:r>
      <w:r>
        <w:t xml:space="preserve">. The shares reached</w:t>
      </w:r>
      <w:r>
        <w:t xml:space="preserve"> </w:t>
      </w:r>
      <w:r>
        <w:rPr>
          <w:b/>
          <w:bCs/>
        </w:rPr>
        <w:t xml:space="preserve">$182.80 on July 17</w:t>
      </w:r>
      <w:r>
        <w:t xml:space="preserve">, then gave back roughly</w:t>
      </w:r>
      <w:r>
        <w:t xml:space="preserve"> </w:t>
      </w:r>
      <w:r>
        <w:rPr>
          <w:b/>
          <w:bCs/>
        </w:rPr>
        <w:t xml:space="preserve">6.7%</w:t>
      </w:r>
      <w:r>
        <w:t xml:space="preserve"> </w:t>
      </w:r>
      <w:r>
        <w:t xml:space="preserve">from that high before the report.</w:t>
      </w:r>
    </w:p>
    <w:p>
      <w:pPr>
        <w:pStyle w:val="BodyText"/>
      </w:pPr>
      <w:r>
        <w:t xml:space="preserve">This suggests the market is not entering earnings with uninterrupted momentum. A report that confirms durable customs/air strength and stable margins could be well received. But the stock may be vulnerable if ocean weakness broadens, air margins fade, or management signals that tariff-related brokerage demand is temporary.</w:t>
      </w:r>
    </w:p>
    <w:p>
      <w:r>
        <w:pict>
          <v:rect style="width:0;height:1.5pt" o:hralign="center" o:hrstd="t" o:hr="t"/>
        </w:pict>
      </w:r>
    </w:p>
    <w:bookmarkEnd w:id="18"/>
    <w:bookmarkStart w:id="19" w:name="what-would-constitute-a-positive-report"/>
    <w:p>
      <w:pPr>
        <w:pStyle w:val="Heading2"/>
      </w:pPr>
      <w:r>
        <w:t xml:space="preserve">What would constitute a positive report</w:t>
      </w:r>
    </w:p>
    <w:p>
      <w:pPr>
        <w:pStyle w:val="FirstParagraph"/>
      </w:pPr>
      <w:r>
        <w:t xml:space="preserve">A constructive Q2 outcome would likely include:</w:t>
      </w:r>
    </w:p>
    <w:p>
      <w:pPr>
        <w:pStyle w:val="Compact"/>
        <w:numPr>
          <w:ilvl w:val="0"/>
          <w:numId w:val="1010"/>
        </w:numPr>
      </w:pPr>
      <w:r>
        <w:t xml:space="preserve">Airfreight tonnage growth at or above the Q1</w:t>
      </w:r>
      <w:r>
        <w:t xml:space="preserve"> </w:t>
      </w:r>
      <w:r>
        <w:rPr>
          <w:b/>
          <w:bCs/>
        </w:rPr>
        <w:t xml:space="preserve">5%</w:t>
      </w:r>
      <w:r>
        <w:t xml:space="preserve"> </w:t>
      </w:r>
      <w:r>
        <w:t xml:space="preserve">pace;</w:t>
      </w:r>
    </w:p>
    <w:p>
      <w:pPr>
        <w:pStyle w:val="Compact"/>
        <w:numPr>
          <w:ilvl w:val="0"/>
          <w:numId w:val="1010"/>
        </w:numPr>
      </w:pPr>
      <w:r>
        <w:t xml:space="preserve">Better-than-expected gross-profit conversion in airfreight;</w:t>
      </w:r>
    </w:p>
    <w:p>
      <w:pPr>
        <w:pStyle w:val="Compact"/>
        <w:numPr>
          <w:ilvl w:val="0"/>
          <w:numId w:val="1010"/>
        </w:numPr>
      </w:pPr>
      <w:r>
        <w:t xml:space="preserve">Continued double-digit customs brokerage and other-services growth;</w:t>
      </w:r>
    </w:p>
    <w:p>
      <w:pPr>
        <w:pStyle w:val="Compact"/>
        <w:numPr>
          <w:ilvl w:val="0"/>
          <w:numId w:val="1010"/>
        </w:numPr>
      </w:pPr>
      <w:r>
        <w:t xml:space="preserve">Evidence that tariff complexity and refund work are supporting a durable pipeline;</w:t>
      </w:r>
    </w:p>
    <w:p>
      <w:pPr>
        <w:pStyle w:val="Compact"/>
        <w:numPr>
          <w:ilvl w:val="0"/>
          <w:numId w:val="1010"/>
        </w:numPr>
      </w:pPr>
      <w:r>
        <w:t xml:space="preserve">Flat-to-modest headcount growth with continued productivity gains;</w:t>
      </w:r>
    </w:p>
    <w:p>
      <w:pPr>
        <w:pStyle w:val="Compact"/>
        <w:numPr>
          <w:ilvl w:val="0"/>
          <w:numId w:val="1010"/>
        </w:numPr>
      </w:pPr>
      <w:r>
        <w:t xml:space="preserve">Ocean gross-profit resilience despite low pricing;</w:t>
      </w:r>
    </w:p>
    <w:p>
      <w:pPr>
        <w:pStyle w:val="Compact"/>
        <w:numPr>
          <w:ilvl w:val="0"/>
          <w:numId w:val="1010"/>
        </w:numPr>
      </w:pPr>
      <w:r>
        <w:t xml:space="preserve">Continued substantial share repurchases;</w:t>
      </w:r>
    </w:p>
    <w:p>
      <w:pPr>
        <w:pStyle w:val="Compact"/>
        <w:numPr>
          <w:ilvl w:val="0"/>
          <w:numId w:val="1010"/>
        </w:numPr>
      </w:pPr>
      <w:r>
        <w:t xml:space="preserve">Confident commentary on technology and high-value-customer demand.</w:t>
      </w:r>
    </w:p>
    <w:bookmarkEnd w:id="19"/>
    <w:bookmarkStart w:id="20" w:name="what-would-constitute-a-negative-report"/>
    <w:p>
      <w:pPr>
        <w:pStyle w:val="Heading2"/>
      </w:pPr>
      <w:r>
        <w:t xml:space="preserve">What would constitute a negative report</w:t>
      </w:r>
    </w:p>
    <w:p>
      <w:pPr>
        <w:pStyle w:val="FirstParagraph"/>
      </w:pPr>
      <w:r>
        <w:t xml:space="preserve">Key downside signals would be:</w:t>
      </w:r>
    </w:p>
    <w:p>
      <w:pPr>
        <w:pStyle w:val="Compact"/>
        <w:numPr>
          <w:ilvl w:val="0"/>
          <w:numId w:val="1011"/>
        </w:numPr>
      </w:pPr>
      <w:r>
        <w:t xml:space="preserve">Airfreight volumes slowing materially or margins compressing due to rate volatility;</w:t>
      </w:r>
    </w:p>
    <w:p>
      <w:pPr>
        <w:pStyle w:val="Compact"/>
        <w:numPr>
          <w:ilvl w:val="0"/>
          <w:numId w:val="1011"/>
        </w:numPr>
      </w:pPr>
      <w:r>
        <w:t xml:space="preserve">Ocean-volume weakness paired with deteriorating per-container profitability;</w:t>
      </w:r>
    </w:p>
    <w:p>
      <w:pPr>
        <w:pStyle w:val="Compact"/>
        <w:numPr>
          <w:ilvl w:val="0"/>
          <w:numId w:val="1011"/>
        </w:numPr>
      </w:pPr>
      <w:r>
        <w:t xml:space="preserve">Customs growth decelerating sharply or being offset by labor costs;</w:t>
      </w:r>
    </w:p>
    <w:p>
      <w:pPr>
        <w:pStyle w:val="Compact"/>
        <w:numPr>
          <w:ilvl w:val="0"/>
          <w:numId w:val="1011"/>
        </w:numPr>
      </w:pPr>
      <w:r>
        <w:t xml:space="preserve">A step-up in overhead that breaks the Q1 operating-leverage trend;</w:t>
      </w:r>
    </w:p>
    <w:p>
      <w:pPr>
        <w:pStyle w:val="Compact"/>
        <w:numPr>
          <w:ilvl w:val="0"/>
          <w:numId w:val="1011"/>
        </w:numPr>
      </w:pPr>
      <w:r>
        <w:t xml:space="preserve">Increased customer caution related to global trade, tariffs, or macro conditions;</w:t>
      </w:r>
    </w:p>
    <w:p>
      <w:pPr>
        <w:pStyle w:val="Compact"/>
        <w:numPr>
          <w:ilvl w:val="0"/>
          <w:numId w:val="1011"/>
        </w:numPr>
      </w:pPr>
      <w:r>
        <w:t xml:space="preserve">Commentary suggesting technology-related demand is normalizing;</w:t>
      </w:r>
    </w:p>
    <w:p>
      <w:pPr>
        <w:pStyle w:val="Compact"/>
        <w:numPr>
          <w:ilvl w:val="0"/>
          <w:numId w:val="1011"/>
        </w:numPr>
      </w:pPr>
      <w:r>
        <w:t xml:space="preserve">Reduced conviction around the brokerage pipeline or tariff-refund opportunity.</w:t>
      </w:r>
    </w:p>
    <w:p>
      <w:r>
        <w:pict>
          <v:rect style="width:0;height:1.5pt" o:hralign="center" o:hrstd="t" o:hr="t"/>
        </w:pict>
      </w:r>
    </w:p>
    <w:bookmarkEnd w:id="20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EXPD’s Q2 report is a test of whether its value-added businesses can continue to offset the ocean cycle.</w:t>
      </w:r>
      <w:r>
        <w:t xml:space="preserve"> </w:t>
      </w:r>
      <w:r>
        <w:t xml:space="preserve">The company’s Q1 performance established a favorable template: modest total revenue growth, strong customs and air activity, controlled costs, margin expansion, and aggressive buybacks.</w:t>
      </w:r>
    </w:p>
    <w:p>
      <w:pPr>
        <w:pStyle w:val="BodyText"/>
      </w:pPr>
      <w:r>
        <w:t xml:space="preserve">The most important confirmation points are straightforward:</w:t>
      </w:r>
      <w:r>
        <w:t xml:space="preserve"> </w:t>
      </w:r>
      <w:r>
        <w:rPr>
          <w:b/>
          <w:bCs/>
        </w:rPr>
        <w:t xml:space="preserve">air volume and yield, customs-brokerage durability, ocean gross-profit protection, and expense control.</w:t>
      </w:r>
      <w:r>
        <w:t xml:space="preserve"> </w:t>
      </w:r>
      <w:r>
        <w:t xml:space="preserve">If those remain intact, Expeditors can produce solid earnings even in a weak-rate ocean market. If air normalizes while ocean pressure persists, the market will likely reassess how sustainable the recent margin strength is.</w:t>
      </w:r>
    </w:p>
    <w:bookmarkStart w:id="21" w:name="source-materials-reviewed"/>
    <w:p>
      <w:pPr>
        <w:pStyle w:val="Heading3"/>
      </w:pPr>
      <w:r>
        <w:t xml:space="preserve">Source materials reviewed</w:t>
      </w:r>
    </w:p>
    <w:p>
      <w:pPr>
        <w:pStyle w:val="Compact"/>
        <w:numPr>
          <w:ilvl w:val="0"/>
          <w:numId w:val="1012"/>
        </w:numPr>
      </w:pPr>
      <w:r>
        <w:t xml:space="preserve">Expeditors Q1 2026 earnings release and Q1 2026 Form 10-Q</w:t>
      </w:r>
    </w:p>
    <w:p>
      <w:pPr>
        <w:pStyle w:val="Compact"/>
        <w:numPr>
          <w:ilvl w:val="0"/>
          <w:numId w:val="1012"/>
        </w:numPr>
      </w:pPr>
      <w:r>
        <w:t xml:space="preserve">Expeditors Q2 2025 earnings release</w:t>
      </w:r>
    </w:p>
    <w:p>
      <w:pPr>
        <w:pStyle w:val="Compact"/>
        <w:numPr>
          <w:ilvl w:val="0"/>
          <w:numId w:val="1012"/>
        </w:numPr>
      </w:pPr>
      <w:r>
        <w:t xml:space="preserve">Expeditors 2025 Form 10-K</w:t>
      </w:r>
    </w:p>
    <w:p>
      <w:pPr>
        <w:pStyle w:val="Compact"/>
        <w:numPr>
          <w:ilvl w:val="0"/>
          <w:numId w:val="1012"/>
        </w:numPr>
      </w:pPr>
      <w:r>
        <w:t xml:space="preserve">Recent EXPD share-price history through August 3, 2026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2026-08-04T01:19:17Z</dcterms:created>
  <dcterms:modified xsi:type="dcterms:W3CDTF">2026-08-04T01:19:17Z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