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Expeditors International of Washington, Inc. (EXPD)</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EXPD</w:t>
            </w:r>
          </w:p>
        </w:tc>
      </w:tr>
      <w:tr>
        <w:tc>
          <w:tcPr>
            <w:tcW w:type="dxa" w:w="4320"/>
          </w:tcPr>
          <w:p>
            <w:r>
              <w:rPr>
                <w:rFonts w:ascii="Calibri" w:hAnsi="Calibri"/>
                <w:b/>
                <w:sz w:val="22"/>
              </w:rPr>
              <w:t>Earnings Date</w:t>
            </w:r>
          </w:p>
        </w:tc>
        <w:tc>
          <w:tcPr>
            <w:tcW w:type="dxa" w:w="4320"/>
          </w:tcPr>
          <w:p>
            <w:r>
              <w:rPr>
                <w:rFonts w:ascii="Calibri" w:hAnsi="Calibri"/>
                <w:sz w:val="22"/>
              </w:rPr>
              <w:t>August 4, 2026 (Before Market Open)</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Exchange</w:t>
            </w:r>
          </w:p>
        </w:tc>
        <w:tc>
          <w:tcPr>
            <w:tcW w:type="dxa" w:w="4320"/>
          </w:tcPr>
          <w:p>
            <w:r>
              <w:rPr>
                <w:rFonts w:ascii="Calibri" w:hAnsi="Calibri"/>
                <w:sz w:val="22"/>
              </w:rPr>
              <w:t>NASDAQ: EXPD</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leans toward a beat — consensus has been revised meaningfully higher since the Q1 print, the air freight market tightened sharply during the quarter, and EXPD's customs brokerage franchise is a structural beneficiary of elevated tariff complexity — but the ocean segment remains a drag and the bar has risen.</w:t>
      </w:r>
      <w:r>
        <w:rPr>
          <w:rFonts w:ascii="Calibri" w:hAnsi="Calibri"/>
          <w:color w:val="525866"/>
          <w:sz w:val="22"/>
        </w:rPr>
      </w:r>
    </w:p>
    <w:p>
      <w:r>
        <w:rPr>
          <w:rFonts w:ascii="Calibri" w:hAnsi="Calibri"/>
          <w:color w:val="525866"/>
          <w:sz w:val="22"/>
        </w:rPr>
        <w:t xml:space="preserve">Heading into the Q2 2026 print, the consensus bar for EXPD has moved materially higher since the Q1 report: the VisibleAlpha diluted operating EPS estimate for Q2 2026 stands at $1.71, up from $1.68 at the post-Q1 baseline (as of May 12, 2026), and net revenue consensus of ~$1.00 billion represents a step-up from the $0.97 billion Q1 2026 actual. </w:t>
      </w:r>
      <w:r>
        <w:rPr>
          <w:rFonts w:ascii="Calibri" w:hAnsi="Calibri"/>
          <w:b/>
          <w:color w:val="525866"/>
          <w:sz w:val="22"/>
        </w:rPr>
        <w:t>Management's tone on the Q1 call was constructive but deliberately cautious</w:t>
      </w:r>
      <w:r>
        <w:rPr>
          <w:rFonts w:ascii="Calibri" w:hAnsi="Calibri"/>
          <w:color w:val="525866"/>
          <w:sz w:val="22"/>
        </w:rPr>
        <w:t xml:space="preserve"> — the company flagged a 'highly unpredictable' freight environment, Middle East-driven air capacity disruption, and persistent ocean overcapacity, while simultaneously highlighting a 'strong' new business pipeline and 'robust' customs brokerage demand from tariff complexity. Estimate revisions have tracked the constructive tone: the operating EPS estimate for Q2 rose from $1.46 in October 2025 to $1.71 today, a 17% upward revision over nine months, with the sharpest move occurring in May 2026 after the Q1 beat. </w:t>
      </w:r>
      <w:r>
        <w:rPr>
          <w:rFonts w:ascii="Calibri" w:hAnsi="Calibri"/>
          <w:b/>
          <w:color w:val="525866"/>
          <w:sz w:val="22"/>
        </w:rPr>
        <w:t>The stock has rallied ~12% since the Q1 earnings date (May 5, 2026) to ~$168, outperforming both XLI and the S&amp;P 500</w:t>
      </w:r>
      <w:r>
        <w:rPr>
          <w:rFonts w:ascii="Calibri" w:hAnsi="Calibri"/>
          <w:color w:val="525866"/>
          <w:sz w:val="22"/>
        </w:rPr>
        <w:t xml:space="preserve">, suggesting the market has partially priced in a strong quarter; at ~24x NTM P/E, the multiple is above the 12-month average, leaving less room for error. The single biggest wildcard is </w:t>
      </w:r>
      <w:r>
        <w:rPr>
          <w:rFonts w:ascii="Calibri" w:hAnsi="Calibri"/>
          <w:b/>
          <w:color w:val="525866"/>
          <w:sz w:val="22"/>
        </w:rPr>
        <w:t>air freight yield</w:t>
      </w:r>
      <w:r>
        <w:rPr>
          <w:rFonts w:ascii="Calibri" w:hAnsi="Calibri"/>
          <w:color w:val="525866"/>
          <w:sz w:val="22"/>
        </w:rPr>
        <w:t>: the Middle East conflict constrained capacity in March and likely into Q2, which could drive upside surprise on per-kilo profitability — but if capacity normalized faster than expected, the benefit may be smaller than the street is modeling.</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expects ~$1.00B in net revenue (+3% YoY) and $1.71 in operating diluted EPS (+27% YoY) — a high bar relative to the prior year but supported by air freight strength and customs brokerage tailwinds. Ocean volume is the swing factor: consensus models a modest recovery from the -4% Q1 print, but peers suggest the market remains oversupplied.</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Last Quarter Actual (Q1 2026)</w:t>
            </w:r>
          </w:p>
        </w:tc>
        <w:tc>
          <w:tcPr>
            <w:tcW w:type="dxa" w:w="1440"/>
            <w:shd w:val="clear" w:color="auto" w:fill="3B4259"/>
          </w:tcPr>
          <w:p>
            <w:r>
              <w:rPr>
                <w:rFonts w:ascii="Calibri" w:hAnsi="Calibri"/>
                <w:b/>
                <w:color w:val="FFFFFF"/>
                <w:sz w:val="22"/>
              </w:rPr>
              <w:t>Prior Year Period (Q2 2025 Actual)</w:t>
            </w:r>
          </w:p>
        </w:tc>
        <w:tc>
          <w:tcPr>
            <w:tcW w:type="dxa" w:w="1440"/>
            <w:shd w:val="clear" w:color="auto" w:fill="3B4259"/>
          </w:tcPr>
          <w:p>
            <w:r>
              <w:rPr>
                <w:rFonts w:ascii="Calibri" w:hAnsi="Calibri"/>
                <w:b/>
                <w:color w:val="FFFFFF"/>
                <w:sz w:val="22"/>
              </w:rPr>
              <w:t>Q2 2026 Consensus Estimate</w:t>
            </w:r>
          </w:p>
        </w:tc>
        <w:tc>
          <w:tcPr>
            <w:tcW w:type="dxa" w:w="1440"/>
            <w:shd w:val="clear" w:color="auto" w:fill="3B4259"/>
          </w:tcPr>
          <w:p>
            <w:r>
              <w:rPr>
                <w:rFonts w:ascii="Calibri" w:hAnsi="Calibri"/>
                <w:b/>
                <w:color w:val="FFFFFF"/>
                <w:sz w:val="22"/>
              </w:rPr>
              <w:t>YoY Change (Est. vs. PY)</w:t>
            </w:r>
          </w:p>
        </w:tc>
        <w:tc>
          <w:tcPr>
            <w:tcW w:type="dxa" w:w="1440"/>
            <w:shd w:val="clear" w:color="auto" w:fill="3B4259"/>
          </w:tcPr>
          <w:p>
            <w:r>
              <w:rPr>
                <w:rFonts w:ascii="Calibri" w:hAnsi="Calibri"/>
                <w:b/>
                <w:color w:val="FFFFFF"/>
                <w:sz w:val="22"/>
              </w:rPr>
              <w:t>Guidance / Management Commentary</w:t>
            </w:r>
          </w:p>
        </w:tc>
      </w:tr>
      <w:tr>
        <w:tc>
          <w:tcPr>
            <w:tcW w:type="dxa" w:w="1440"/>
          </w:tcPr>
          <w:p>
            <w:r>
              <w:rPr>
                <w:rFonts w:ascii="Calibri" w:hAnsi="Calibri"/>
                <w:sz w:val="22"/>
              </w:rPr>
              <w:t>Total Net Revenue ($M)</w:t>
            </w:r>
          </w:p>
        </w:tc>
        <w:tc>
          <w:tcPr>
            <w:tcW w:type="dxa" w:w="1440"/>
          </w:tcPr>
          <w:p>
            <w:r>
              <w:rPr>
                <w:rFonts w:ascii="Calibri" w:hAnsi="Calibri"/>
                <w:sz w:val="22"/>
              </w:rPr>
              <w:t>$971.8M</w:t>
            </w:r>
          </w:p>
        </w:tc>
        <w:tc>
          <w:tcPr>
            <w:tcW w:type="dxa" w:w="1440"/>
          </w:tcPr>
          <w:p>
            <w:r>
              <w:rPr>
                <w:rFonts w:ascii="Calibri" w:hAnsi="Calibri"/>
                <w:sz w:val="22"/>
              </w:rPr>
              <w:t>$898.5M</w:t>
            </w:r>
          </w:p>
        </w:tc>
        <w:tc>
          <w:tcPr>
            <w:tcW w:type="dxa" w:w="1440"/>
          </w:tcPr>
          <w:p>
            <w:r>
              <w:rPr>
                <w:rFonts w:ascii="Calibri" w:hAnsi="Calibri"/>
                <w:sz w:val="22"/>
              </w:rPr>
              <w:t>$1,002.3M</w:t>
            </w:r>
          </w:p>
        </w:tc>
        <w:tc>
          <w:tcPr>
            <w:tcW w:type="dxa" w:w="1440"/>
          </w:tcPr>
          <w:p>
            <w:r>
              <w:rPr>
                <w:rFonts w:ascii="Calibri" w:hAnsi="Calibri"/>
                <w:sz w:val="22"/>
              </w:rPr>
              <w:t>+11.5%</w:t>
            </w:r>
          </w:p>
        </w:tc>
        <w:tc>
          <w:tcPr>
            <w:tcW w:type="dxa" w:w="1440"/>
          </w:tcPr>
          <w:p>
            <w:r>
              <w:rPr>
                <w:rFonts w:ascii="Calibri" w:hAnsi="Calibri"/>
                <w:sz w:val="22"/>
              </w:rPr>
              <w:t>No explicit guidance; expects 'highly unpredictable' freight environment</w:t>
            </w:r>
          </w:p>
        </w:tc>
      </w:tr>
      <w:tr>
        <w:tc>
          <w:tcPr>
            <w:tcW w:type="dxa" w:w="1440"/>
          </w:tcPr>
          <w:p>
            <w:r>
              <w:rPr>
                <w:rFonts w:ascii="Calibri" w:hAnsi="Calibri"/>
                <w:sz w:val="22"/>
              </w:rPr>
              <w:t>Operating Income ($M)</w:t>
            </w:r>
          </w:p>
        </w:tc>
        <w:tc>
          <w:tcPr>
            <w:tcW w:type="dxa" w:w="1440"/>
          </w:tcPr>
          <w:p>
            <w:r>
              <w:rPr>
                <w:rFonts w:ascii="Calibri" w:hAnsi="Calibri"/>
                <w:sz w:val="22"/>
              </w:rPr>
              <w:t>$294.8M</w:t>
            </w:r>
          </w:p>
        </w:tc>
        <w:tc>
          <w:tcPr>
            <w:tcW w:type="dxa" w:w="1440"/>
          </w:tcPr>
          <w:p>
            <w:r>
              <w:rPr>
                <w:rFonts w:ascii="Calibri" w:hAnsi="Calibri"/>
                <w:sz w:val="22"/>
              </w:rPr>
              <w:t>$247.7M</w:t>
            </w:r>
          </w:p>
        </w:tc>
        <w:tc>
          <w:tcPr>
            <w:tcW w:type="dxa" w:w="1440"/>
          </w:tcPr>
          <w:p>
            <w:r>
              <w:rPr>
                <w:rFonts w:ascii="Calibri" w:hAnsi="Calibri"/>
                <w:sz w:val="22"/>
              </w:rPr>
              <w:t>$297.2M</w:t>
            </w:r>
          </w:p>
        </w:tc>
        <w:tc>
          <w:tcPr>
            <w:tcW w:type="dxa" w:w="1440"/>
          </w:tcPr>
          <w:p>
            <w:r>
              <w:rPr>
                <w:rFonts w:ascii="Calibri" w:hAnsi="Calibri"/>
                <w:sz w:val="22"/>
              </w:rPr>
              <w:t>+20.0%</w:t>
            </w:r>
          </w:p>
        </w:tc>
        <w:tc>
          <w:tcPr>
            <w:tcW w:type="dxa" w:w="1440"/>
          </w:tcPr>
          <w:p>
            <w:r>
              <w:rPr>
                <w:rFonts w:ascii="Calibri" w:hAnsi="Calibri"/>
                <w:sz w:val="22"/>
              </w:rPr>
              <w:t>No explicit guidance; 30% operating efficiency target maintained</w:t>
            </w:r>
          </w:p>
        </w:tc>
      </w:tr>
      <w:tr>
        <w:tc>
          <w:tcPr>
            <w:tcW w:type="dxa" w:w="1440"/>
          </w:tcPr>
          <w:p>
            <w:r>
              <w:rPr>
                <w:rFonts w:ascii="Calibri" w:hAnsi="Calibri"/>
                <w:sz w:val="22"/>
              </w:rPr>
              <w:t>EPS — Diluted Operating ($)</w:t>
            </w:r>
          </w:p>
        </w:tc>
        <w:tc>
          <w:tcPr>
            <w:tcW w:type="dxa" w:w="1440"/>
          </w:tcPr>
          <w:p>
            <w:r>
              <w:rPr>
                <w:rFonts w:ascii="Calibri" w:hAnsi="Calibri"/>
                <w:sz w:val="22"/>
              </w:rPr>
              <w:t>$1.71</w:t>
            </w:r>
          </w:p>
        </w:tc>
        <w:tc>
          <w:tcPr>
            <w:tcW w:type="dxa" w:w="1440"/>
          </w:tcPr>
          <w:p>
            <w:r>
              <w:rPr>
                <w:rFonts w:ascii="Calibri" w:hAnsi="Calibri"/>
                <w:sz w:val="22"/>
              </w:rPr>
              <w:t>$1.34</w:t>
            </w:r>
          </w:p>
        </w:tc>
        <w:tc>
          <w:tcPr>
            <w:tcW w:type="dxa" w:w="1440"/>
          </w:tcPr>
          <w:p>
            <w:r>
              <w:rPr>
                <w:rFonts w:ascii="Calibri" w:hAnsi="Calibri"/>
                <w:sz w:val="22"/>
              </w:rPr>
              <w:t>$1.71</w:t>
            </w:r>
          </w:p>
        </w:tc>
        <w:tc>
          <w:tcPr>
            <w:tcW w:type="dxa" w:w="1440"/>
          </w:tcPr>
          <w:p>
            <w:r>
              <w:rPr>
                <w:rFonts w:ascii="Calibri" w:hAnsi="Calibri"/>
                <w:sz w:val="22"/>
              </w:rPr>
              <w:t>+27.5%</w:t>
            </w:r>
          </w:p>
        </w:tc>
        <w:tc>
          <w:tcPr>
            <w:tcW w:type="dxa" w:w="1440"/>
          </w:tcPr>
          <w:p>
            <w:r>
              <w:rPr>
                <w:rFonts w:ascii="Calibri" w:hAnsi="Calibri"/>
                <w:sz w:val="22"/>
              </w:rPr>
              <w:t>No explicit EPS guidance provided</w:t>
            </w:r>
          </w:p>
        </w:tc>
      </w:tr>
      <w:tr>
        <w:tc>
          <w:tcPr>
            <w:tcW w:type="dxa" w:w="1440"/>
          </w:tcPr>
          <w:p>
            <w:r>
              <w:rPr>
                <w:rFonts w:ascii="Calibri" w:hAnsi="Calibri"/>
                <w:sz w:val="22"/>
              </w:rPr>
              <w:t>Airfreight Volume (YoY %)</w:t>
            </w:r>
          </w:p>
        </w:tc>
        <w:tc>
          <w:tcPr>
            <w:tcW w:type="dxa" w:w="1440"/>
          </w:tcPr>
          <w:p>
            <w:r>
              <w:rPr>
                <w:rFonts w:ascii="Calibri" w:hAnsi="Calibri"/>
                <w:sz w:val="22"/>
              </w:rPr>
              <w:t>+5%</w:t>
            </w:r>
          </w:p>
        </w:tc>
        <w:tc>
          <w:tcPr>
            <w:tcW w:type="dxa" w:w="1440"/>
          </w:tcPr>
          <w:p>
            <w:r>
              <w:rPr>
                <w:rFonts w:ascii="Calibri" w:hAnsi="Calibri"/>
                <w:sz w:val="22"/>
              </w:rPr>
              <w:t>+7%</w:t>
            </w:r>
          </w:p>
        </w:tc>
        <w:tc>
          <w:tcPr>
            <w:tcW w:type="dxa" w:w="1440"/>
          </w:tcPr>
          <w:p>
            <w:r>
              <w:rPr>
                <w:rFonts w:ascii="Calibri" w:hAnsi="Calibri"/>
                <w:sz w:val="22"/>
              </w:rPr>
              <w:t>+4%</w:t>
            </w:r>
          </w:p>
        </w:tc>
        <w:tc>
          <w:tcPr>
            <w:tcW w:type="dxa" w:w="1440"/>
          </w:tcPr>
          <w:p>
            <w:r>
              <w:rPr>
                <w:rFonts w:ascii="Calibri" w:hAnsi="Calibri"/>
                <w:sz w:val="22"/>
              </w:rPr>
              <w:t>N/A (YoY % metric)</w:t>
            </w:r>
          </w:p>
        </w:tc>
        <w:tc>
          <w:tcPr>
            <w:tcW w:type="dxa" w:w="1440"/>
          </w:tcPr>
          <w:p>
            <w:r>
              <w:rPr>
                <w:rFonts w:ascii="Calibri" w:hAnsi="Calibri"/>
                <w:sz w:val="22"/>
              </w:rPr>
              <w:t>Air market may face 'rapid shifts in capacity, routing, pricing, and possible fuel shortages'</w:t>
            </w:r>
          </w:p>
        </w:tc>
      </w:tr>
      <w:tr>
        <w:tc>
          <w:tcPr>
            <w:tcW w:type="dxa" w:w="1440"/>
          </w:tcPr>
          <w:p>
            <w:r>
              <w:rPr>
                <w:rFonts w:ascii="Calibri" w:hAnsi="Calibri"/>
                <w:sz w:val="22"/>
              </w:rPr>
              <w:t>Ocean Freight Volume (YoY %)</w:t>
            </w:r>
          </w:p>
        </w:tc>
        <w:tc>
          <w:tcPr>
            <w:tcW w:type="dxa" w:w="1440"/>
          </w:tcPr>
          <w:p>
            <w:r>
              <w:rPr>
                <w:rFonts w:ascii="Calibri" w:hAnsi="Calibri"/>
                <w:sz w:val="22"/>
              </w:rPr>
              <w:t>-4%</w:t>
            </w:r>
          </w:p>
        </w:tc>
        <w:tc>
          <w:tcPr>
            <w:tcW w:type="dxa" w:w="1440"/>
          </w:tcPr>
          <w:p>
            <w:r>
              <w:rPr>
                <w:rFonts w:ascii="Calibri" w:hAnsi="Calibri"/>
                <w:sz w:val="22"/>
              </w:rPr>
              <w:t>+7%</w:t>
            </w:r>
          </w:p>
        </w:tc>
        <w:tc>
          <w:tcPr>
            <w:tcW w:type="dxa" w:w="1440"/>
          </w:tcPr>
          <w:p>
            <w:r>
              <w:rPr>
                <w:rFonts w:ascii="Calibri" w:hAnsi="Calibri"/>
                <w:sz w:val="22"/>
              </w:rPr>
              <w:t>-1%</w:t>
            </w:r>
          </w:p>
        </w:tc>
        <w:tc>
          <w:tcPr>
            <w:tcW w:type="dxa" w:w="1440"/>
          </w:tcPr>
          <w:p>
            <w:r>
              <w:rPr>
                <w:rFonts w:ascii="Calibri" w:hAnsi="Calibri"/>
                <w:sz w:val="22"/>
              </w:rPr>
              <w:t>N/A (YoY % metric)</w:t>
            </w:r>
          </w:p>
        </w:tc>
        <w:tc>
          <w:tcPr>
            <w:tcW w:type="dxa" w:w="1440"/>
          </w:tcPr>
          <w:p>
            <w:r>
              <w:rPr>
                <w:rFonts w:ascii="Calibri" w:hAnsi="Calibri"/>
                <w:sz w:val="22"/>
              </w:rPr>
              <w:t>Expects ocean market to remain 'impacted by abundant capacity and weak pricing'</w:t>
            </w:r>
          </w:p>
        </w:tc>
      </w:tr>
    </w:tbl>
    <w:p>
      <w:r>
        <w:rPr>
          <w:rFonts w:ascii="Calibri" w:hAnsi="Calibri"/>
          <w:i/>
          <w:color w:val="525866"/>
          <w:sz w:val="22"/>
        </w:rPr>
        <w:t>Source: Visible Alpha Consensus and Actuals Data; EXPD Q1 2026 Earnings Release (May 5, 2026).</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Top KPI 1: Total Net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$971.8M</w:t>
            </w:r>
          </w:p>
        </w:tc>
        <w:tc>
          <w:tcPr>
            <w:tcW w:type="dxa" w:w="1728"/>
          </w:tcPr>
          <w:p>
            <w:r>
              <w:rPr>
                <w:rFonts w:ascii="Calibri" w:hAnsi="Calibri"/>
                <w:sz w:val="22"/>
              </w:rPr>
              <w:t>$889.3M</w:t>
            </w:r>
          </w:p>
        </w:tc>
        <w:tc>
          <w:tcPr>
            <w:tcW w:type="dxa" w:w="1728"/>
          </w:tcPr>
          <w:p>
            <w:r>
              <w:rPr>
                <w:rFonts w:ascii="Calibri" w:hAnsi="Calibri"/>
                <w:b/>
                <w:color w:val="30A46C"/>
                <w:sz w:val="22"/>
              </w:rPr>
              <w:t>+9.3%</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$923.6M</w:t>
            </w:r>
          </w:p>
        </w:tc>
        <w:tc>
          <w:tcPr>
            <w:tcW w:type="dxa" w:w="1728"/>
          </w:tcPr>
          <w:p>
            <w:r>
              <w:rPr>
                <w:rFonts w:ascii="Calibri" w:hAnsi="Calibri"/>
                <w:sz w:val="22"/>
              </w:rPr>
              <w:t>$933.3M</w:t>
            </w:r>
          </w:p>
        </w:tc>
        <w:tc>
          <w:tcPr>
            <w:tcW w:type="dxa" w:w="1728"/>
          </w:tcPr>
          <w:p>
            <w:r>
              <w:rPr>
                <w:rFonts w:ascii="Calibri" w:hAnsi="Calibri"/>
                <w:b/>
                <w:color w:val="E5484D"/>
                <w:sz w:val="22"/>
              </w:rPr>
              <w:t>-1.0%</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$955.1M</w:t>
            </w:r>
          </w:p>
        </w:tc>
        <w:tc>
          <w:tcPr>
            <w:tcW w:type="dxa" w:w="1728"/>
          </w:tcPr>
          <w:p>
            <w:r>
              <w:rPr>
                <w:rFonts w:ascii="Calibri" w:hAnsi="Calibri"/>
                <w:sz w:val="22"/>
              </w:rPr>
              <w:t>$884.3M</w:t>
            </w:r>
          </w:p>
        </w:tc>
        <w:tc>
          <w:tcPr>
            <w:tcW w:type="dxa" w:w="1728"/>
          </w:tcPr>
          <w:p>
            <w:r>
              <w:rPr>
                <w:rFonts w:ascii="Calibri" w:hAnsi="Calibri"/>
                <w:b/>
                <w:color w:val="30A46C"/>
                <w:sz w:val="22"/>
              </w:rPr>
              <w:t>+8.0%</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$898.5M</w:t>
            </w:r>
          </w:p>
        </w:tc>
        <w:tc>
          <w:tcPr>
            <w:tcW w:type="dxa" w:w="1728"/>
          </w:tcPr>
          <w:p>
            <w:r>
              <w:rPr>
                <w:rFonts w:ascii="Calibri" w:hAnsi="Calibri"/>
                <w:sz w:val="22"/>
              </w:rPr>
              <w:t>$809.9M</w:t>
            </w:r>
          </w:p>
        </w:tc>
        <w:tc>
          <w:tcPr>
            <w:tcW w:type="dxa" w:w="1728"/>
          </w:tcPr>
          <w:p>
            <w:r>
              <w:rPr>
                <w:rFonts w:ascii="Calibri" w:hAnsi="Calibri"/>
                <w:b/>
                <w:color w:val="30A46C"/>
                <w:sz w:val="22"/>
              </w:rPr>
              <w:t>+10.9%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$889.7M</w:t>
            </w:r>
          </w:p>
        </w:tc>
        <w:tc>
          <w:tcPr>
            <w:tcW w:type="dxa" w:w="1728"/>
          </w:tcPr>
          <w:p>
            <w:r>
              <w:rPr>
                <w:rFonts w:ascii="Calibri" w:hAnsi="Calibri"/>
                <w:sz w:val="22"/>
              </w:rPr>
              <w:t>$840.0M</w:t>
            </w:r>
          </w:p>
        </w:tc>
        <w:tc>
          <w:tcPr>
            <w:tcW w:type="dxa" w:w="1728"/>
          </w:tcPr>
          <w:p>
            <w:r>
              <w:rPr>
                <w:rFonts w:ascii="Calibri" w:hAnsi="Calibri"/>
                <w:b/>
                <w:color w:val="30A46C"/>
                <w:sz w:val="22"/>
              </w:rPr>
              <w:t>+5.9%</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$934.6M</w:t>
            </w:r>
          </w:p>
        </w:tc>
        <w:tc>
          <w:tcPr>
            <w:tcW w:type="dxa" w:w="1728"/>
          </w:tcPr>
          <w:p>
            <w:r>
              <w:rPr>
                <w:rFonts w:ascii="Calibri" w:hAnsi="Calibri"/>
                <w:sz w:val="22"/>
              </w:rPr>
              <w:t>$864.6M</w:t>
            </w:r>
          </w:p>
        </w:tc>
        <w:tc>
          <w:tcPr>
            <w:tcW w:type="dxa" w:w="1728"/>
          </w:tcPr>
          <w:p>
            <w:r>
              <w:rPr>
                <w:rFonts w:ascii="Calibri" w:hAnsi="Calibri"/>
                <w:b/>
                <w:color w:val="30A46C"/>
                <w:sz w:val="22"/>
              </w:rPr>
              <w:t>+8.1%</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$906.2M</w:t>
            </w:r>
          </w:p>
        </w:tc>
        <w:tc>
          <w:tcPr>
            <w:tcW w:type="dxa" w:w="1728"/>
          </w:tcPr>
          <w:p>
            <w:r>
              <w:rPr>
                <w:rFonts w:ascii="Calibri" w:hAnsi="Calibri"/>
                <w:sz w:val="22"/>
              </w:rPr>
              <w:t>$821.9M</w:t>
            </w:r>
          </w:p>
        </w:tc>
        <w:tc>
          <w:tcPr>
            <w:tcW w:type="dxa" w:w="1728"/>
          </w:tcPr>
          <w:p>
            <w:r>
              <w:rPr>
                <w:rFonts w:ascii="Calibri" w:hAnsi="Calibri"/>
                <w:b/>
                <w:color w:val="30A46C"/>
                <w:sz w:val="22"/>
              </w:rPr>
              <w:t>+10.3%</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Top KPI 2: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$1.71</w:t>
            </w:r>
          </w:p>
        </w:tc>
        <w:tc>
          <w:tcPr>
            <w:tcW w:type="dxa" w:w="1728"/>
          </w:tcPr>
          <w:p>
            <w:r>
              <w:rPr>
                <w:rFonts w:ascii="Calibri" w:hAnsi="Calibri"/>
                <w:sz w:val="22"/>
              </w:rPr>
              <w:t>$1.35</w:t>
            </w:r>
          </w:p>
        </w:tc>
        <w:tc>
          <w:tcPr>
            <w:tcW w:type="dxa" w:w="1728"/>
          </w:tcPr>
          <w:p>
            <w:r>
              <w:rPr>
                <w:rFonts w:ascii="Calibri" w:hAnsi="Calibri"/>
                <w:b/>
                <w:color w:val="30A46C"/>
                <w:sz w:val="22"/>
              </w:rPr>
              <w:t>+26.7%</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$1.49</w:t>
            </w:r>
          </w:p>
        </w:tc>
        <w:tc>
          <w:tcPr>
            <w:tcW w:type="dxa" w:w="1728"/>
          </w:tcPr>
          <w:p>
            <w:r>
              <w:rPr>
                <w:rFonts w:ascii="Calibri" w:hAnsi="Calibri"/>
                <w:sz w:val="22"/>
              </w:rPr>
              <w:t>$1.49</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2025</w:t>
            </w:r>
          </w:p>
        </w:tc>
        <w:tc>
          <w:tcPr>
            <w:tcW w:type="dxa" w:w="1728"/>
          </w:tcPr>
          <w:p>
            <w:r>
              <w:rPr>
                <w:rFonts w:ascii="Calibri" w:hAnsi="Calibri"/>
                <w:sz w:val="22"/>
              </w:rPr>
              <w:t>$1.64</w:t>
            </w:r>
          </w:p>
        </w:tc>
        <w:tc>
          <w:tcPr>
            <w:tcW w:type="dxa" w:w="1728"/>
          </w:tcPr>
          <w:p>
            <w:r>
              <w:rPr>
                <w:rFonts w:ascii="Calibri" w:hAnsi="Calibri"/>
                <w:sz w:val="22"/>
              </w:rPr>
              <w:t>$1.40</w:t>
            </w:r>
          </w:p>
        </w:tc>
        <w:tc>
          <w:tcPr>
            <w:tcW w:type="dxa" w:w="1728"/>
          </w:tcPr>
          <w:p>
            <w:r>
              <w:rPr>
                <w:rFonts w:ascii="Calibri" w:hAnsi="Calibri"/>
                <w:b/>
                <w:color w:val="30A46C"/>
                <w:sz w:val="22"/>
              </w:rPr>
              <w:t>+17.1%</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$1.34</w:t>
            </w:r>
          </w:p>
        </w:tc>
        <w:tc>
          <w:tcPr>
            <w:tcW w:type="dxa" w:w="1728"/>
          </w:tcPr>
          <w:p>
            <w:r>
              <w:rPr>
                <w:rFonts w:ascii="Calibri" w:hAnsi="Calibri"/>
                <w:sz w:val="22"/>
              </w:rPr>
              <w:t>$1.24</w:t>
            </w:r>
          </w:p>
        </w:tc>
        <w:tc>
          <w:tcPr>
            <w:tcW w:type="dxa" w:w="1728"/>
          </w:tcPr>
          <w:p>
            <w:r>
              <w:rPr>
                <w:rFonts w:ascii="Calibri" w:hAnsi="Calibri"/>
                <w:b/>
                <w:color w:val="30A46C"/>
                <w:sz w:val="22"/>
              </w:rPr>
              <w:t>+8.1%</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$1.47</w:t>
            </w:r>
          </w:p>
        </w:tc>
        <w:tc>
          <w:tcPr>
            <w:tcW w:type="dxa" w:w="1728"/>
          </w:tcPr>
          <w:p>
            <w:r>
              <w:rPr>
                <w:rFonts w:ascii="Calibri" w:hAnsi="Calibri"/>
                <w:sz w:val="22"/>
              </w:rPr>
              <w:t>$1.37</w:t>
            </w:r>
          </w:p>
        </w:tc>
        <w:tc>
          <w:tcPr>
            <w:tcW w:type="dxa" w:w="1728"/>
          </w:tcPr>
          <w:p>
            <w:r>
              <w:rPr>
                <w:rFonts w:ascii="Calibri" w:hAnsi="Calibri"/>
                <w:b/>
                <w:color w:val="30A46C"/>
                <w:sz w:val="22"/>
              </w:rPr>
              <w:t>+7.3%</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$1.68</w:t>
            </w:r>
          </w:p>
        </w:tc>
        <w:tc>
          <w:tcPr>
            <w:tcW w:type="dxa" w:w="1728"/>
          </w:tcPr>
          <w:p>
            <w:r>
              <w:rPr>
                <w:rFonts w:ascii="Calibri" w:hAnsi="Calibri"/>
                <w:sz w:val="22"/>
              </w:rPr>
              <w:t>$1.46</w:t>
            </w:r>
          </w:p>
        </w:tc>
        <w:tc>
          <w:tcPr>
            <w:tcW w:type="dxa" w:w="1728"/>
          </w:tcPr>
          <w:p>
            <w:r>
              <w:rPr>
                <w:rFonts w:ascii="Calibri" w:hAnsi="Calibri"/>
                <w:b/>
                <w:color w:val="30A46C"/>
                <w:sz w:val="22"/>
              </w:rPr>
              <w:t>+15.1%</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$1.63</w:t>
            </w:r>
          </w:p>
        </w:tc>
        <w:tc>
          <w:tcPr>
            <w:tcW w:type="dxa" w:w="1728"/>
          </w:tcPr>
          <w:p>
            <w:r>
              <w:rPr>
                <w:rFonts w:ascii="Calibri" w:hAnsi="Calibri"/>
                <w:sz w:val="22"/>
              </w:rPr>
              <w:t>$1.33</w:t>
            </w:r>
          </w:p>
        </w:tc>
        <w:tc>
          <w:tcPr>
            <w:tcW w:type="dxa" w:w="1728"/>
          </w:tcPr>
          <w:p>
            <w:r>
              <w:rPr>
                <w:rFonts w:ascii="Calibri" w:hAnsi="Calibri"/>
                <w:b/>
                <w:color w:val="30A46C"/>
                <w:sz w:val="22"/>
              </w:rPr>
              <w:t>+22.8%</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EXPD has beaten net revenue consensus in 6 of the last 7 reported quarters (with one miss in Q4 2025) and beaten operating EPS consensus in 6 of 7 quarters, with surprise magnitudes consistently in the high single-digit to mid-20% range — suggesting the street systematically underestimates EXPD's ability to capture freight market volatility.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EXPD does not provide explicit numerical guidance. The Q1 2026 earnings call (May 5, 2026) set the tone: management was constructive on customs brokerage and air freight demand but explicitly cautious on ocean and the macro environment. No post-earnings guidance revisions or 8-K updates have been issued since the Q1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 Tone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Revenue</w:t>
            </w:r>
          </w:p>
        </w:tc>
        <w:tc>
          <w:tcPr>
            <w:tcW w:type="dxa" w:w="1728"/>
          </w:tcPr>
          <w:p>
            <w:r>
              <w:rPr>
                <w:rFonts w:ascii="Calibri" w:hAnsi="Calibri"/>
                <w:sz w:val="22"/>
              </w:rPr>
              <w:t>No explicit guidance. Expects 'highly unpredictable' freight environment.</w:t>
            </w:r>
          </w:p>
        </w:tc>
        <w:tc>
          <w:tcPr>
            <w:tcW w:type="dxa" w:w="1728"/>
          </w:tcPr>
          <w:p>
            <w:r>
              <w:rPr>
                <w:rFonts w:ascii="Calibri" w:hAnsi="Calibri"/>
                <w:sz w:val="22"/>
              </w:rPr>
              <w:t>—</w:t>
            </w:r>
          </w:p>
        </w:tc>
        <w:tc>
          <w:tcPr>
            <w:tcW w:type="dxa" w:w="1728"/>
          </w:tcPr>
          <w:p>
            <w:r>
              <w:rPr>
                <w:rFonts w:ascii="Calibri" w:hAnsi="Calibri"/>
                <w:sz w:val="22"/>
              </w:rPr>
              <w:t>$1,002.3M</w:t>
            </w:r>
          </w:p>
        </w:tc>
        <w:tc>
          <w:tcPr>
            <w:tcW w:type="dxa" w:w="1728"/>
          </w:tcPr>
          <w:p>
            <w:r>
              <w:rPr>
                <w:rFonts w:ascii="Calibri" w:hAnsi="Calibri"/>
                <w:sz w:val="22"/>
              </w:rPr>
              <w:t>No post-earnings update. Consensus moved up ~$15M since Q1 print.</w:t>
            </w:r>
          </w:p>
        </w:tc>
      </w:tr>
      <w:tr>
        <w:tc>
          <w:tcPr>
            <w:tcW w:type="dxa" w:w="1728"/>
          </w:tcPr>
          <w:p>
            <w:r>
              <w:rPr>
                <w:rFonts w:ascii="Calibri" w:hAnsi="Calibri"/>
                <w:sz w:val="22"/>
              </w:rPr>
              <w:t>Operating Income</w:t>
            </w:r>
          </w:p>
        </w:tc>
        <w:tc>
          <w:tcPr>
            <w:tcW w:type="dxa" w:w="1728"/>
          </w:tcPr>
          <w:p>
            <w:r>
              <w:rPr>
                <w:rFonts w:ascii="Calibri" w:hAnsi="Calibri"/>
                <w:sz w:val="22"/>
              </w:rPr>
              <w:t>No explicit guidance. 30% operating efficiency target maintained.</w:t>
            </w:r>
          </w:p>
        </w:tc>
        <w:tc>
          <w:tcPr>
            <w:tcW w:type="dxa" w:w="1728"/>
          </w:tcPr>
          <w:p>
            <w:r>
              <w:rPr>
                <w:rFonts w:ascii="Calibri" w:hAnsi="Calibri"/>
                <w:sz w:val="22"/>
              </w:rPr>
              <w:t>—</w:t>
            </w:r>
          </w:p>
        </w:tc>
        <w:tc>
          <w:tcPr>
            <w:tcW w:type="dxa" w:w="1728"/>
          </w:tcPr>
          <w:p>
            <w:r>
              <w:rPr>
                <w:rFonts w:ascii="Calibri" w:hAnsi="Calibri"/>
                <w:sz w:val="22"/>
              </w:rPr>
              <w:t>$297.2M</w:t>
            </w:r>
          </w:p>
        </w:tc>
        <w:tc>
          <w:tcPr>
            <w:tcW w:type="dxa" w:w="1728"/>
          </w:tcPr>
          <w:p>
            <w:r>
              <w:rPr>
                <w:rFonts w:ascii="Calibri" w:hAnsi="Calibri"/>
                <w:sz w:val="22"/>
              </w:rPr>
              <w:t>No post-earnings update. Consensus up ~$5M since Q1 print.</w:t>
            </w:r>
          </w:p>
        </w:tc>
      </w:tr>
      <w:tr>
        <w:tc>
          <w:tcPr>
            <w:tcW w:type="dxa" w:w="1728"/>
          </w:tcPr>
          <w:p>
            <w:r>
              <w:rPr>
                <w:rFonts w:ascii="Calibri" w:hAnsi="Calibri"/>
                <w:sz w:val="22"/>
              </w:rPr>
              <w:t>Air Freight Volume</w:t>
            </w:r>
          </w:p>
        </w:tc>
        <w:tc>
          <w:tcPr>
            <w:tcW w:type="dxa" w:w="1728"/>
          </w:tcPr>
          <w:p>
            <w:r>
              <w:rPr>
                <w:rFonts w:ascii="Calibri" w:hAnsi="Calibri"/>
                <w:sz w:val="22"/>
              </w:rPr>
              <w:t>Air market 'may continue to face rapid shifts in capacity, routing, pricing, and possible fuel shortages.' Demand from technology customers remained strong in Q1.</w:t>
            </w:r>
          </w:p>
        </w:tc>
        <w:tc>
          <w:tcPr>
            <w:tcW w:type="dxa" w:w="1728"/>
          </w:tcPr>
          <w:p>
            <w:r>
              <w:rPr>
                <w:rFonts w:ascii="Calibri" w:hAnsi="Calibri"/>
                <w:sz w:val="22"/>
              </w:rPr>
              <w:t>—</w:t>
            </w:r>
          </w:p>
        </w:tc>
        <w:tc>
          <w:tcPr>
            <w:tcW w:type="dxa" w:w="1728"/>
          </w:tcPr>
          <w:p>
            <w:r>
              <w:rPr>
                <w:rFonts w:ascii="Calibri" w:hAnsi="Calibri"/>
                <w:sz w:val="22"/>
              </w:rPr>
              <w:t>+4% YoY (consensus)</w:t>
            </w:r>
          </w:p>
        </w:tc>
        <w:tc>
          <w:tcPr>
            <w:tcW w:type="dxa" w:w="1728"/>
          </w:tcPr>
          <w:p>
            <w:r>
              <w:rPr>
                <w:rFonts w:ascii="Calibri" w:hAnsi="Calibri"/>
                <w:sz w:val="22"/>
              </w:rPr>
              <w:t>Middle East conflict constrained capacity in March; Q2 impact uncertain.</w:t>
            </w:r>
          </w:p>
        </w:tc>
      </w:tr>
      <w:tr>
        <w:tc>
          <w:tcPr>
            <w:tcW w:type="dxa" w:w="1728"/>
          </w:tcPr>
          <w:p>
            <w:r>
              <w:rPr>
                <w:rFonts w:ascii="Calibri" w:hAnsi="Calibri"/>
                <w:sz w:val="22"/>
              </w:rPr>
              <w:t>Ocean Freight Volume</w:t>
            </w:r>
          </w:p>
        </w:tc>
        <w:tc>
          <w:tcPr>
            <w:tcW w:type="dxa" w:w="1728"/>
          </w:tcPr>
          <w:p>
            <w:r>
              <w:rPr>
                <w:rFonts w:ascii="Calibri" w:hAnsi="Calibri"/>
                <w:sz w:val="22"/>
              </w:rPr>
              <w:t>Expects ocean market to remain 'impacted by abundant capacity and weak pricing.' Decline due to lower pricing and volume vs. Q1 2025.</w:t>
            </w:r>
          </w:p>
        </w:tc>
        <w:tc>
          <w:tcPr>
            <w:tcW w:type="dxa" w:w="1728"/>
          </w:tcPr>
          <w:p>
            <w:r>
              <w:rPr>
                <w:rFonts w:ascii="Calibri" w:hAnsi="Calibri"/>
                <w:sz w:val="22"/>
              </w:rPr>
              <w:t>—</w:t>
            </w:r>
          </w:p>
        </w:tc>
        <w:tc>
          <w:tcPr>
            <w:tcW w:type="dxa" w:w="1728"/>
          </w:tcPr>
          <w:p>
            <w:r>
              <w:rPr>
                <w:rFonts w:ascii="Calibri" w:hAnsi="Calibri"/>
                <w:sz w:val="22"/>
              </w:rPr>
              <w:t>-1% YoY (consensus)</w:t>
            </w:r>
          </w:p>
        </w:tc>
        <w:tc>
          <w:tcPr>
            <w:tcW w:type="dxa" w:w="1728"/>
          </w:tcPr>
          <w:p>
            <w:r>
              <w:rPr>
                <w:rFonts w:ascii="Calibri" w:hAnsi="Calibri"/>
                <w:sz w:val="22"/>
              </w:rPr>
              <w:t>Modest sequential improvement expected but structural oversupply persists.</w:t>
            </w:r>
          </w:p>
        </w:tc>
      </w:tr>
      <w:tr>
        <w:tc>
          <w:tcPr>
            <w:tcW w:type="dxa" w:w="1728"/>
          </w:tcPr>
          <w:p>
            <w:r>
              <w:rPr>
                <w:rFonts w:ascii="Calibri" w:hAnsi="Calibri"/>
                <w:sz w:val="22"/>
              </w:rPr>
              <w:t>Customs Brokerage</w:t>
            </w:r>
          </w:p>
        </w:tc>
        <w:tc>
          <w:tcPr>
            <w:tcW w:type="dxa" w:w="1728"/>
          </w:tcPr>
          <w:p>
            <w:r>
              <w:rPr>
                <w:rFonts w:ascii="Calibri" w:hAnsi="Calibri"/>
                <w:sz w:val="22"/>
              </w:rPr>
              <w:t>Expects 'continued robust demand' due to 'elevated tariff-driven complexity, tariff refund challenges, and dynamics in the global trade environment.'</w:t>
            </w:r>
          </w:p>
        </w:tc>
        <w:tc>
          <w:tcPr>
            <w:tcW w:type="dxa" w:w="1728"/>
          </w:tcPr>
          <w:p>
            <w:r>
              <w:rPr>
                <w:rFonts w:ascii="Calibri" w:hAnsi="Calibri"/>
                <w:sz w:val="22"/>
              </w:rPr>
              <w:t>—</w:t>
            </w:r>
          </w:p>
        </w:tc>
        <w:tc>
          <w:tcPr>
            <w:tcW w:type="dxa" w:w="1728"/>
          </w:tcPr>
          <w:p>
            <w:r>
              <w:rPr>
                <w:rFonts w:ascii="Calibri" w:hAnsi="Calibri"/>
                <w:sz w:val="22"/>
              </w:rPr>
              <w:t>Double-digit growth expected (no specific consensus figure)</w:t>
            </w:r>
          </w:p>
        </w:tc>
        <w:tc>
          <w:tcPr>
            <w:tcW w:type="dxa" w:w="1728"/>
          </w:tcPr>
          <w:p>
            <w:r>
              <w:rPr>
                <w:rFonts w:ascii="Calibri" w:hAnsi="Calibri"/>
                <w:sz w:val="22"/>
              </w:rPr>
              <w:t>Structural tailwind from tariff complexity; FedEx began filing CBP refund claims in April 2026 — consistent with EXPD's tariff refund opportunity.</w:t>
            </w:r>
          </w:p>
        </w:tc>
      </w:tr>
      <w:tr>
        <w:tc>
          <w:tcPr>
            <w:tcW w:type="dxa" w:w="1728"/>
          </w:tcPr>
          <w:p>
            <w:r>
              <w:rPr>
                <w:rFonts w:ascii="Calibri" w:hAnsi="Calibri"/>
                <w:sz w:val="22"/>
              </w:rPr>
              <w:t>Operating Efficiency</w:t>
            </w:r>
          </w:p>
        </w:tc>
        <w:tc>
          <w:tcPr>
            <w:tcW w:type="dxa" w:w="1728"/>
          </w:tcPr>
          <w:p>
            <w:r>
              <w:rPr>
                <w:rFonts w:ascii="Calibri" w:hAnsi="Calibri"/>
                <w:sz w:val="22"/>
              </w:rPr>
              <w:t>Achieved 30% historical target in Q1 2026 for first time in recent quarters. Headcount sequentially flat.</w:t>
            </w:r>
          </w:p>
        </w:tc>
        <w:tc>
          <w:tcPr>
            <w:tcW w:type="dxa" w:w="1728"/>
          </w:tcPr>
          <w:p>
            <w:r>
              <w:rPr>
                <w:rFonts w:ascii="Calibri" w:hAnsi="Calibri"/>
                <w:sz w:val="22"/>
              </w:rPr>
              <w:t>—</w:t>
            </w:r>
          </w:p>
        </w:tc>
        <w:tc>
          <w:tcPr>
            <w:tcW w:type="dxa" w:w="1728"/>
          </w:tcPr>
          <w:p>
            <w:r>
              <w:rPr>
                <w:rFonts w:ascii="Calibri" w:hAnsi="Calibri"/>
                <w:sz w:val="22"/>
              </w:rPr>
              <w:t>~30% target</w:t>
            </w:r>
          </w:p>
        </w:tc>
        <w:tc>
          <w:tcPr>
            <w:tcW w:type="dxa" w:w="1728"/>
          </w:tcPr>
          <w:p>
            <w:r>
              <w:rPr>
                <w:rFonts w:ascii="Calibri" w:hAnsi="Calibri"/>
                <w:sz w:val="22"/>
              </w:rPr>
              <w:t>AI and technology investments from 2025 beginning to yield productivity gains.</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moved sharply higher since the Q1 2026 print — operating EPS for Q2 is up ~27% from the post-Q1 baseline and FY 2026 EPS is up ~1.2% — tracking management's constructive tone on air freight and customs brokerage. The gap between current consensus and the post-Q1 baseline is large, reflecting the market's confidence in EXPD's ability to capitalize on freight market volatility, but also raising the bar for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Net Revenue — Q2 2026</w:t>
            </w:r>
          </w:p>
        </w:tc>
        <w:tc>
          <w:tcPr>
            <w:tcW w:type="dxa" w:w="1080"/>
          </w:tcPr>
          <w:p>
            <w:r>
              <w:rPr>
                <w:rFonts w:ascii="Calibri" w:hAnsi="Calibri"/>
                <w:sz w:val="22"/>
              </w:rPr>
              <w:t>$986.9M</w:t>
            </w:r>
          </w:p>
        </w:tc>
        <w:tc>
          <w:tcPr>
            <w:tcW w:type="dxa" w:w="1080"/>
          </w:tcPr>
          <w:p>
            <w:r>
              <w:rPr>
                <w:rFonts w:ascii="Calibri" w:hAnsi="Calibri"/>
                <w:sz w:val="22"/>
              </w:rPr>
              <w:t>$1,002.3M</w:t>
            </w:r>
          </w:p>
        </w:tc>
        <w:tc>
          <w:tcPr>
            <w:tcW w:type="dxa" w:w="1080"/>
          </w:tcPr>
          <w:p>
            <w:r>
              <w:rPr>
                <w:rFonts w:ascii="Calibri" w:hAnsi="Calibri"/>
                <w:b/>
                <w:color w:val="30A46C"/>
                <w:sz w:val="22"/>
              </w:rPr>
              <w:t>+1.6%</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Income — Q2 2026</w:t>
            </w:r>
          </w:p>
        </w:tc>
        <w:tc>
          <w:tcPr>
            <w:tcW w:type="dxa" w:w="1080"/>
          </w:tcPr>
          <w:p>
            <w:r>
              <w:rPr>
                <w:rFonts w:ascii="Calibri" w:hAnsi="Calibri"/>
                <w:sz w:val="22"/>
              </w:rPr>
              <w:t>$291.4M</w:t>
            </w:r>
          </w:p>
        </w:tc>
        <w:tc>
          <w:tcPr>
            <w:tcW w:type="dxa" w:w="1080"/>
          </w:tcPr>
          <w:p>
            <w:r>
              <w:rPr>
                <w:rFonts w:ascii="Calibri" w:hAnsi="Calibri"/>
                <w:sz w:val="22"/>
              </w:rPr>
              <w:t>$297.2M</w:t>
            </w:r>
          </w:p>
        </w:tc>
        <w:tc>
          <w:tcPr>
            <w:tcW w:type="dxa" w:w="1080"/>
          </w:tcPr>
          <w:p>
            <w:r>
              <w:rPr>
                <w:rFonts w:ascii="Calibri" w:hAnsi="Calibri"/>
                <w:b/>
                <w:color w:val="30A46C"/>
                <w:sz w:val="22"/>
              </w:rPr>
              <w:t>+2.0%</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 Q2 2026</w:t>
            </w:r>
          </w:p>
        </w:tc>
        <w:tc>
          <w:tcPr>
            <w:tcW w:type="dxa" w:w="1080"/>
          </w:tcPr>
          <w:p>
            <w:r>
              <w:rPr>
                <w:rFonts w:ascii="Calibri" w:hAnsi="Calibri"/>
                <w:sz w:val="22"/>
              </w:rPr>
              <w:t>$1.68</w:t>
            </w:r>
          </w:p>
        </w:tc>
        <w:tc>
          <w:tcPr>
            <w:tcW w:type="dxa" w:w="1080"/>
          </w:tcPr>
          <w:p>
            <w:r>
              <w:rPr>
                <w:rFonts w:ascii="Calibri" w:hAnsi="Calibri"/>
                <w:sz w:val="22"/>
              </w:rPr>
              <w:t>$1.71</w:t>
            </w:r>
          </w:p>
        </w:tc>
        <w:tc>
          <w:tcPr>
            <w:tcW w:type="dxa" w:w="1080"/>
          </w:tcPr>
          <w:p>
            <w:r>
              <w:rPr>
                <w:rFonts w:ascii="Calibri" w:hAnsi="Calibri"/>
                <w:b/>
                <w:color w:val="30A46C"/>
                <w:sz w:val="22"/>
              </w:rPr>
              <w:t>+1.8%</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FY 2026</w:t>
            </w:r>
          </w:p>
        </w:tc>
        <w:tc>
          <w:tcPr>
            <w:tcW w:type="dxa" w:w="1080"/>
          </w:tcPr>
          <w:p>
            <w:r>
              <w:rPr>
                <w:rFonts w:ascii="Calibri" w:hAnsi="Calibri"/>
                <w:sz w:val="22"/>
              </w:rPr>
              <w:t>$4,001.2M</w:t>
            </w:r>
          </w:p>
        </w:tc>
        <w:tc>
          <w:tcPr>
            <w:tcW w:type="dxa" w:w="1080"/>
          </w:tcPr>
          <w:p>
            <w:r>
              <w:rPr>
                <w:rFonts w:ascii="Calibri" w:hAnsi="Calibri"/>
                <w:sz w:val="22"/>
              </w:rPr>
              <w:t>$4,033.4M</w:t>
            </w:r>
          </w:p>
        </w:tc>
        <w:tc>
          <w:tcPr>
            <w:tcW w:type="dxa" w:w="1080"/>
          </w:tcPr>
          <w:p>
            <w:r>
              <w:rPr>
                <w:rFonts w:ascii="Calibri" w:hAnsi="Calibri"/>
                <w:b/>
                <w:color w:val="30A46C"/>
                <w:sz w:val="22"/>
              </w:rPr>
              <w:t>+0.8%</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 FY 2026</w:t>
            </w:r>
          </w:p>
        </w:tc>
        <w:tc>
          <w:tcPr>
            <w:tcW w:type="dxa" w:w="1080"/>
          </w:tcPr>
          <w:p>
            <w:r>
              <w:rPr>
                <w:rFonts w:ascii="Calibri" w:hAnsi="Calibri"/>
                <w:sz w:val="22"/>
              </w:rPr>
              <w:t>$6.89</w:t>
            </w:r>
          </w:p>
        </w:tc>
        <w:tc>
          <w:tcPr>
            <w:tcW w:type="dxa" w:w="1080"/>
          </w:tcPr>
          <w:p>
            <w:r>
              <w:rPr>
                <w:rFonts w:ascii="Calibri" w:hAnsi="Calibri"/>
                <w:sz w:val="22"/>
              </w:rPr>
              <w:t>$6.97</w:t>
            </w:r>
          </w:p>
        </w:tc>
        <w:tc>
          <w:tcPr>
            <w:tcW w:type="dxa" w:w="1080"/>
          </w:tcPr>
          <w:p>
            <w:r>
              <w:rPr>
                <w:rFonts w:ascii="Calibri" w:hAnsi="Calibri"/>
                <w:b/>
                <w:color w:val="30A46C"/>
                <w:sz w:val="22"/>
              </w:rPr>
              <w:t>+1.2%</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Airfreight Volume (YoY %) — Q2 2026</w:t>
            </w:r>
          </w:p>
        </w:tc>
        <w:tc>
          <w:tcPr>
            <w:tcW w:type="dxa" w:w="1080"/>
          </w:tcPr>
          <w:p>
            <w:r>
              <w:rPr>
                <w:rFonts w:ascii="Calibri" w:hAnsi="Calibri"/>
                <w:sz w:val="22"/>
              </w:rPr>
              <w:t>3.75%</w:t>
            </w:r>
          </w:p>
        </w:tc>
        <w:tc>
          <w:tcPr>
            <w:tcW w:type="dxa" w:w="1080"/>
          </w:tcPr>
          <w:p>
            <w:r>
              <w:rPr>
                <w:rFonts w:ascii="Calibri" w:hAnsi="Calibri"/>
                <w:sz w:val="22"/>
              </w:rPr>
              <w:t>4.0%</w:t>
            </w:r>
          </w:p>
        </w:tc>
        <w:tc>
          <w:tcPr>
            <w:tcW w:type="dxa" w:w="1080"/>
          </w:tcPr>
          <w:p>
            <w:r>
              <w:rPr>
                <w:rFonts w:ascii="Calibri" w:hAnsi="Calibri"/>
                <w:b/>
                <w:color w:val="30A46C"/>
                <w:sz w:val="22"/>
              </w:rPr>
              <w:t>+0.3pp</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Ocean Volume (YoY %) — Q2 2026</w:t>
            </w:r>
          </w:p>
        </w:tc>
        <w:tc>
          <w:tcPr>
            <w:tcW w:type="dxa" w:w="1080"/>
          </w:tcPr>
          <w:p>
            <w:r>
              <w:rPr>
                <w:rFonts w:ascii="Calibri" w:hAnsi="Calibri"/>
                <w:sz w:val="22"/>
              </w:rPr>
              <w:t>-1.0%</w:t>
            </w:r>
          </w:p>
        </w:tc>
        <w:tc>
          <w:tcPr>
            <w:tcW w:type="dxa" w:w="1080"/>
          </w:tcPr>
          <w:p>
            <w:r>
              <w:rPr>
                <w:rFonts w:ascii="Calibri" w:hAnsi="Calibri"/>
                <w:sz w:val="22"/>
              </w:rPr>
              <w:t>-1.0%</w:t>
            </w:r>
          </w:p>
        </w:tc>
        <w:tc>
          <w:tcPr>
            <w:tcW w:type="dxa" w:w="1080"/>
          </w:tcPr>
          <w:p>
            <w:r>
              <w:rPr>
                <w:rFonts w:ascii="Calibri" w:hAnsi="Calibri"/>
                <w:sz w:val="22"/>
              </w:rPr>
              <w:t>Flat</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Estimates have moved consistently higher since the Q1 2026 print, with the most significant revision in operating EPS (from $1.35 consensus at Q1 print to $1.71 current). The revision trajectory is driven by air freight market tightening (Middle East conflict, capacity constraints) and customs brokerage tariff tailwinds. EXPD does not provide explicit numerical guidance, so there is no guidance-vs-consensus gap to track. 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EXPD has outperformed both XLI (Industrials ETF) and the S&amp;P 500 since the Q1 2026 earnings date (May 5, 2026), with the stock up ~10% vs. XLI +6% and SPY +3% on an indexed basis. The outperformance is driven by a combination of estimate revisions (EPS revised up ~27% from the Q1 print baseline) and modest multiple expansion, suggesting the market is pricing in continued freight market volatility benefiting EXPD's non-asset model.</w:t>
      </w:r>
    </w:p>
    <w:p>
      <w:r>
        <w:rPr>
          <w:rFonts w:ascii="Calibri" w:hAnsi="Calibri"/>
          <w:b/>
          <w:color w:val="525866"/>
          <w:sz w:val="22"/>
        </w:rPr>
        <w:t>Stock Performance Data (Indexed to 100 at May 5, 2026 close of $153.08):</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EXPD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20, 2026</w:t>
            </w:r>
          </w:p>
        </w:tc>
        <w:tc>
          <w:tcPr>
            <w:tcW w:type="dxa" w:w="2160"/>
          </w:tcPr>
          <w:p>
            <w:r>
              <w:rPr>
                <w:rFonts w:ascii="Calibri" w:hAnsi="Calibri"/>
                <w:sz w:val="22"/>
              </w:rPr>
              <w:t>103.5</w:t>
            </w:r>
          </w:p>
        </w:tc>
        <w:tc>
          <w:tcPr>
            <w:tcW w:type="dxa" w:w="2160"/>
          </w:tcPr>
          <w:p>
            <w:r>
              <w:rPr>
                <w:rFonts w:ascii="Calibri" w:hAnsi="Calibri"/>
                <w:sz w:val="22"/>
              </w:rPr>
              <w:t>99.0</w:t>
            </w:r>
          </w:p>
        </w:tc>
        <w:tc>
          <w:tcPr>
            <w:tcW w:type="dxa" w:w="2160"/>
          </w:tcPr>
          <w:p>
            <w:r>
              <w:rPr>
                <w:rFonts w:ascii="Calibri" w:hAnsi="Calibri"/>
                <w:sz w:val="22"/>
              </w:rPr>
              <w:t>102.4</w:t>
            </w:r>
          </w:p>
        </w:tc>
      </w:tr>
      <w:tr>
        <w:tc>
          <w:tcPr>
            <w:tcW w:type="dxa" w:w="2160"/>
          </w:tcPr>
          <w:p>
            <w:r>
              <w:rPr>
                <w:rFonts w:ascii="Calibri" w:hAnsi="Calibri"/>
                <w:sz w:val="22"/>
              </w:rPr>
              <w:t>Jun 9, 2026</w:t>
            </w:r>
          </w:p>
        </w:tc>
        <w:tc>
          <w:tcPr>
            <w:tcW w:type="dxa" w:w="2160"/>
          </w:tcPr>
          <w:p>
            <w:r>
              <w:rPr>
                <w:rFonts w:ascii="Calibri" w:hAnsi="Calibri"/>
                <w:sz w:val="22"/>
              </w:rPr>
              <w:t>108.7</w:t>
            </w:r>
          </w:p>
        </w:tc>
        <w:tc>
          <w:tcPr>
            <w:tcW w:type="dxa" w:w="2160"/>
          </w:tcPr>
          <w:p>
            <w:r>
              <w:rPr>
                <w:rFonts w:ascii="Calibri" w:hAnsi="Calibri"/>
                <w:sz w:val="22"/>
              </w:rPr>
              <w:t>101.9</w:t>
            </w:r>
          </w:p>
        </w:tc>
        <w:tc>
          <w:tcPr>
            <w:tcW w:type="dxa" w:w="2160"/>
          </w:tcPr>
          <w:p>
            <w:r>
              <w:rPr>
                <w:rFonts w:ascii="Calibri" w:hAnsi="Calibri"/>
                <w:sz w:val="22"/>
              </w:rPr>
              <w:t>101.8</w:t>
            </w:r>
          </w:p>
        </w:tc>
      </w:tr>
      <w:tr>
        <w:tc>
          <w:tcPr>
            <w:tcW w:type="dxa" w:w="2160"/>
          </w:tcPr>
          <w:p>
            <w:r>
              <w:rPr>
                <w:rFonts w:ascii="Calibri" w:hAnsi="Calibri"/>
                <w:sz w:val="22"/>
              </w:rPr>
              <w:t>Jun 30, 2026</w:t>
            </w:r>
          </w:p>
        </w:tc>
        <w:tc>
          <w:tcPr>
            <w:tcW w:type="dxa" w:w="2160"/>
          </w:tcPr>
          <w:p>
            <w:r>
              <w:rPr>
                <w:rFonts w:ascii="Calibri" w:hAnsi="Calibri"/>
                <w:sz w:val="22"/>
              </w:rPr>
              <w:t>106.5</w:t>
            </w:r>
          </w:p>
        </w:tc>
        <w:tc>
          <w:tcPr>
            <w:tcW w:type="dxa" w:w="2160"/>
          </w:tcPr>
          <w:p>
            <w:r>
              <w:rPr>
                <w:rFonts w:ascii="Calibri" w:hAnsi="Calibri"/>
                <w:sz w:val="22"/>
              </w:rPr>
              <w:t>107.5</w:t>
            </w:r>
          </w:p>
        </w:tc>
        <w:tc>
          <w:tcPr>
            <w:tcW w:type="dxa" w:w="2160"/>
          </w:tcPr>
          <w:p>
            <w:r>
              <w:rPr>
                <w:rFonts w:ascii="Calibri" w:hAnsi="Calibri"/>
                <w:sz w:val="22"/>
              </w:rPr>
              <w:t>103.2</w:t>
            </w:r>
          </w:p>
        </w:tc>
      </w:tr>
      <w:tr>
        <w:tc>
          <w:tcPr>
            <w:tcW w:type="dxa" w:w="2160"/>
          </w:tcPr>
          <w:p>
            <w:r>
              <w:rPr>
                <w:rFonts w:ascii="Calibri" w:hAnsi="Calibri"/>
                <w:sz w:val="22"/>
              </w:rPr>
              <w:t>Jul 16, 2026</w:t>
            </w:r>
          </w:p>
        </w:tc>
        <w:tc>
          <w:tcPr>
            <w:tcW w:type="dxa" w:w="2160"/>
          </w:tcPr>
          <w:p>
            <w:r>
              <w:rPr>
                <w:rFonts w:ascii="Calibri" w:hAnsi="Calibri"/>
                <w:sz w:val="22"/>
              </w:rPr>
              <w:t>118.9</w:t>
            </w:r>
          </w:p>
        </w:tc>
        <w:tc>
          <w:tcPr>
            <w:tcW w:type="dxa" w:w="2160"/>
          </w:tcPr>
          <w:p>
            <w:r>
              <w:rPr>
                <w:rFonts w:ascii="Calibri" w:hAnsi="Calibri"/>
                <w:sz w:val="22"/>
              </w:rPr>
              <w:t>104.5</w:t>
            </w:r>
          </w:p>
        </w:tc>
        <w:tc>
          <w:tcPr>
            <w:tcW w:type="dxa" w:w="2160"/>
          </w:tcPr>
          <w:p>
            <w:r>
              <w:rPr>
                <w:rFonts w:ascii="Calibri" w:hAnsi="Calibri"/>
                <w:sz w:val="22"/>
              </w:rPr>
              <w:t>103.7</w:t>
            </w:r>
          </w:p>
        </w:tc>
      </w:tr>
      <w:tr>
        <w:tc>
          <w:tcPr>
            <w:tcW w:type="dxa" w:w="2160"/>
          </w:tcPr>
          <w:p>
            <w:r>
              <w:rPr>
                <w:rFonts w:ascii="Calibri" w:hAnsi="Calibri"/>
                <w:sz w:val="22"/>
              </w:rPr>
              <w:t>Jul 31, 2026</w:t>
            </w:r>
          </w:p>
        </w:tc>
        <w:tc>
          <w:tcPr>
            <w:tcW w:type="dxa" w:w="2160"/>
          </w:tcPr>
          <w:p>
            <w:r>
              <w:rPr>
                <w:rFonts w:ascii="Calibri" w:hAnsi="Calibri"/>
                <w:sz w:val="22"/>
              </w:rPr>
              <w:t>109.7</w:t>
            </w:r>
          </w:p>
        </w:tc>
        <w:tc>
          <w:tcPr>
            <w:tcW w:type="dxa" w:w="2160"/>
          </w:tcPr>
          <w:p>
            <w:r>
              <w:rPr>
                <w:rFonts w:ascii="Calibri" w:hAnsi="Calibri"/>
                <w:sz w:val="22"/>
              </w:rPr>
              <w:t>104.3</w:t>
            </w:r>
          </w:p>
        </w:tc>
        <w:tc>
          <w:tcPr>
            <w:tcW w:type="dxa" w:w="2160"/>
          </w:tcPr>
          <w:p>
            <w:r>
              <w:rPr>
                <w:rFonts w:ascii="Calibri" w:hAnsi="Calibri"/>
                <w:sz w:val="22"/>
              </w:rPr>
              <w:t>103.2</w:t>
            </w:r>
          </w:p>
        </w:tc>
      </w:tr>
      <w:tr>
        <w:tc>
          <w:tcPr>
            <w:tcW w:type="dxa" w:w="2160"/>
          </w:tcPr>
          <w:p>
            <w:r>
              <w:rPr>
                <w:rFonts w:ascii="Calibri" w:hAnsi="Calibri"/>
                <w:sz w:val="22"/>
              </w:rPr>
              <w:t>Aug 3, 2026 (Latest)</w:t>
            </w:r>
          </w:p>
        </w:tc>
        <w:tc>
          <w:tcPr>
            <w:tcW w:type="dxa" w:w="2160"/>
          </w:tcPr>
          <w:p>
            <w:r>
              <w:rPr>
                <w:rFonts w:ascii="Calibri" w:hAnsi="Calibri"/>
                <w:sz w:val="22"/>
              </w:rPr>
              <w:t>111.4</w:t>
            </w:r>
          </w:p>
        </w:tc>
        <w:tc>
          <w:tcPr>
            <w:tcW w:type="dxa" w:w="2160"/>
          </w:tcPr>
          <w:p>
            <w:r>
              <w:rPr>
                <w:rFonts w:ascii="Calibri" w:hAnsi="Calibri"/>
                <w:sz w:val="22"/>
              </w:rPr>
              <w:t>106.2</w:t>
            </w:r>
          </w:p>
        </w:tc>
        <w:tc>
          <w:tcPr>
            <w:tcW w:type="dxa" w:w="2160"/>
          </w:tcPr>
          <w:p>
            <w:r>
              <w:rPr>
                <w:rFonts w:ascii="Calibri" w:hAnsi="Calibri"/>
                <w:sz w:val="22"/>
              </w:rPr>
              <w:t>104.7</w:t>
            </w:r>
          </w:p>
        </w:tc>
      </w:tr>
    </w:tbl>
    <w:p>
      <w:r>
        <w:rPr>
          <w:rFonts w:ascii="Calibri" w:hAnsi="Calibri"/>
          <w:i/>
          <w:color w:val="525866"/>
          <w:sz w:val="22"/>
        </w:rPr>
        <w:t>EXPD: $153.08 → $170.59 (+11.4%) | XLI: $172.41 → $183.16 (+6.2%) | SPY: $723.77 → $757.67 (+4.7%). Source: Stock Price Data (Yahoo Finance).</w:t>
      </w:r>
    </w:p>
    <w:p>
      <w:r>
        <w:rPr>
          <w:rFonts w:ascii="Calibri" w:hAnsi="Calibri"/>
          <w:b/>
          <w:color w:val="525866"/>
          <w:sz w:val="22"/>
        </w:rPr>
        <w:t xml:space="preserve">Valuation Context: </w:t>
      </w:r>
      <w:r>
        <w:rPr>
          <w:rFonts w:ascii="Calibri" w:hAnsi="Calibri"/>
          <w:color w:val="525866"/>
          <w:sz w:val="22"/>
        </w:rPr>
        <w:t>At ~$170, EXPD trades at ~24x NTM P/E (vs. 20x 12 months ago) and ~17x NTM EV/EBITDA (vs. 14x 12 months ago). The 12-month stock return of +47% has been driven by a combination of ~18% multiple expansion and ~20% EPS estimate growth, suggesting the re-rating is partially justified by fundamentals but leaves the stock with less margin of safety heading into the print. Source: Stock Performance Decomposition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the sustained Middle East conflict-driven air capacity disruption, which has tightened the air freight market and likely benefited EXPD's per-kilo profitability in Q2. The tariff environment continues to drive customs brokerage demand, while ocean remains structurally challenged.</w:t>
      </w:r>
    </w:p>
    <w:p>
      <w:pPr>
        <w:pStyle w:val="ListBullet"/>
        <w:ind w:left="360" w:hanging="360"/>
      </w:pPr>
      <w:r>
        <w:rPr>
          <w:rFonts w:ascii="Calibri" w:hAnsi="Calibri"/>
          <w:b/>
          <w:color w:val="525866"/>
          <w:sz w:val="22"/>
        </w:rPr>
        <w:t>May 5, 2026 — EXPD Q1 2026 Earnings Beat:</w:t>
      </w:r>
      <w:r>
        <w:rPr>
          <w:rFonts w:ascii="Calibri" w:hAnsi="Calibri"/>
          <w:color w:val="525866"/>
          <w:sz w:val="22"/>
        </w:rPr>
        <w:t xml:space="preserve"> EXPD reported Q1 2026 operating EPS of $1.71 (+16% YoY), net revenue of $971.8M (+9% YoY), and operating income of $294.8M (+11% YoY), all well above consensus. Management highlighted strong air freight demand from technology customers, customs brokerage growth from tariff complexity, and achievement of the 30% operating efficiency target. The company returned $288M to shareholders via buybacks. </w:t>
      </w:r>
      <w:r>
        <w:rPr>
          <w:rFonts w:ascii="Calibri" w:hAnsi="Calibri"/>
          <w:b/>
          <w:color w:val="525866"/>
          <w:sz w:val="22"/>
        </w:rPr>
        <w:t>Implication:</w:t>
      </w:r>
      <w:r>
        <w:rPr>
          <w:rFonts w:ascii="Calibri" w:hAnsi="Calibri"/>
          <w:color w:val="525866"/>
          <w:sz w:val="22"/>
        </w:rPr>
        <w:t xml:space="preserve"> Sets a high bar for Q2 but demonstrates EXPD's ability to capitalize on freight market disruption.</w:t>
      </w:r>
    </w:p>
    <w:p>
      <w:pPr>
        <w:pStyle w:val="ListBullet"/>
        <w:ind w:left="360" w:hanging="360"/>
      </w:pPr>
      <w:r>
        <w:rPr>
          <w:rFonts w:ascii="Calibri" w:hAnsi="Calibri"/>
          <w:b/>
          <w:color w:val="525866"/>
          <w:sz w:val="22"/>
        </w:rPr>
        <w:t>May 5, 2026 — Semi-Annual Dividend Declared:</w:t>
      </w:r>
      <w:r>
        <w:rPr>
          <w:rFonts w:ascii="Calibri" w:hAnsi="Calibri"/>
          <w:color w:val="525866"/>
          <w:sz w:val="22"/>
        </w:rPr>
        <w:t xml:space="preserve"> EXPD declared its semi-annual cash dividend, consistent with its capital return policy. </w:t>
      </w:r>
      <w:r>
        <w:rPr>
          <w:rFonts w:ascii="Calibri" w:hAnsi="Calibri"/>
          <w:b/>
          <w:color w:val="525866"/>
          <w:sz w:val="22"/>
        </w:rPr>
        <w:t>Implication:</w:t>
      </w:r>
      <w:r>
        <w:rPr>
          <w:rFonts w:ascii="Calibri" w:hAnsi="Calibri"/>
          <w:color w:val="525866"/>
          <w:sz w:val="22"/>
        </w:rPr>
        <w:t xml:space="preserve"> Signals financial confidence; no change to capital allocation posture.</w:t>
      </w:r>
    </w:p>
    <w:p>
      <w:pPr>
        <w:pStyle w:val="ListBullet"/>
        <w:ind w:left="360" w:hanging="360"/>
      </w:pPr>
      <w:r>
        <w:rPr>
          <w:rFonts w:ascii="Calibri" w:hAnsi="Calibri"/>
          <w:b/>
          <w:color w:val="525866"/>
          <w:sz w:val="22"/>
        </w:rPr>
        <w:t>May 5, 2026 — Middle East Conflict Air Capacity Impact:</w:t>
      </w:r>
      <w:r>
        <w:rPr>
          <w:rFonts w:ascii="Calibri" w:hAnsi="Calibri"/>
          <w:color w:val="525866"/>
          <w:sz w:val="22"/>
        </w:rPr>
        <w:t xml:space="preserve"> Management noted that air capacity became constrained by the Middle East conflict in March 2026, impacting the final month of Q1. The conflict was cited as a key uncertainty for Q2, with the air market potentially facing 'rapid shifts in capacity, routing, pricing, and possible fuel shortages.' </w:t>
      </w:r>
      <w:r>
        <w:rPr>
          <w:rFonts w:ascii="Calibri" w:hAnsi="Calibri"/>
          <w:b/>
          <w:color w:val="525866"/>
          <w:sz w:val="22"/>
        </w:rPr>
        <w:t>Implication:</w:t>
      </w:r>
      <w:r>
        <w:rPr>
          <w:rFonts w:ascii="Calibri" w:hAnsi="Calibri"/>
          <w:color w:val="525866"/>
          <w:sz w:val="22"/>
        </w:rPr>
        <w:t xml:space="preserve"> If capacity constraints persisted into Q2, EXPD's air freight margins could be meaningfully above consensus; if capacity normalized, the benefit may be smaller.</w:t>
      </w:r>
    </w:p>
    <w:p>
      <w:pPr>
        <w:pStyle w:val="ListBullet"/>
        <w:ind w:left="360" w:hanging="360"/>
      </w:pPr>
      <w:r>
        <w:rPr>
          <w:rFonts w:ascii="Calibri" w:hAnsi="Calibri"/>
          <w:b/>
          <w:color w:val="525866"/>
          <w:sz w:val="22"/>
        </w:rPr>
        <w:t>May 5, 2026 — Tariff Complexity Driving Customs Brokerage:</w:t>
      </w:r>
      <w:r>
        <w:rPr>
          <w:rFonts w:ascii="Calibri" w:hAnsi="Calibri"/>
          <w:color w:val="525866"/>
          <w:sz w:val="22"/>
        </w:rPr>
        <w:t xml:space="preserve"> Management explicitly called out 'elevated tariff-driven complexity, tariff refund challenges, and dynamics in the global trade environment' as drivers of robust customs brokerage demand. FedEx (June 23, 2026) confirmed it began filing CBP tariff refund claims on behalf of customers in April 2026, consistent with EXPD's commentary. </w:t>
      </w:r>
      <w:r>
        <w:rPr>
          <w:rFonts w:ascii="Calibri" w:hAnsi="Calibri"/>
          <w:b/>
          <w:color w:val="525866"/>
          <w:sz w:val="22"/>
        </w:rPr>
        <w:t>Implication:</w:t>
      </w:r>
      <w:r>
        <w:rPr>
          <w:rFonts w:ascii="Calibri" w:hAnsi="Calibri"/>
          <w:color w:val="525866"/>
          <w:sz w:val="22"/>
        </w:rPr>
        <w:t xml:space="preserve"> Customs brokerage is a structural Q2 tailwind; tariff refund processing is a new revenue opportunity.</w:t>
      </w:r>
    </w:p>
    <w:p>
      <w:pPr>
        <w:pStyle w:val="ListBullet"/>
        <w:ind w:left="360" w:hanging="360"/>
      </w:pPr>
      <w:r>
        <w:rPr>
          <w:rFonts w:ascii="Calibri" w:hAnsi="Calibri"/>
          <w:b/>
          <w:color w:val="525866"/>
          <w:sz w:val="22"/>
        </w:rPr>
        <w:t>May 6, 2026 — Annual Meeting: Shareholders Backed Directors, Executive Pay, Auditor:</w:t>
      </w:r>
      <w:r>
        <w:rPr>
          <w:rFonts w:ascii="Calibri" w:hAnsi="Calibri"/>
          <w:color w:val="525866"/>
          <w:sz w:val="22"/>
        </w:rPr>
        <w:t xml:space="preserve"> Routine annual meeting with no material governance changes. </w:t>
      </w:r>
      <w:r>
        <w:rPr>
          <w:rFonts w:ascii="Calibri" w:hAnsi="Calibri"/>
          <w:b/>
          <w:color w:val="525866"/>
          <w:sz w:val="22"/>
        </w:rPr>
        <w:t>Implication:</w:t>
      </w:r>
      <w:r>
        <w:rPr>
          <w:rFonts w:ascii="Calibri" w:hAnsi="Calibri"/>
          <w:color w:val="525866"/>
          <w:sz w:val="22"/>
        </w:rPr>
        <w:t xml:space="preserve"> No governance overhang heading into the print.</w:t>
      </w:r>
    </w:p>
    <w:p>
      <w:pPr>
        <w:pStyle w:val="ListBullet"/>
        <w:ind w:left="360" w:hanging="360"/>
      </w:pPr>
      <w:r>
        <w:rPr>
          <w:rFonts w:ascii="Calibri" w:hAnsi="Calibri"/>
          <w:b/>
          <w:color w:val="525866"/>
          <w:sz w:val="22"/>
        </w:rPr>
        <w:t>June 23, 2026 — FedEx Q4 FY2026 Earnings (Peer Read-Through):</w:t>
      </w:r>
      <w:r>
        <w:rPr>
          <w:rFonts w:ascii="Calibri" w:hAnsi="Calibri"/>
          <w:color w:val="525866"/>
          <w:sz w:val="22"/>
        </w:rPr>
        <w:t xml:space="preserve"> FedEx reported strong international air freight growth, with average daily pounds in the international export freight market up 12% YoY. FedEx noted 'strong international air freight growth' and expected trends to continue. </w:t>
      </w:r>
      <w:r>
        <w:rPr>
          <w:rFonts w:ascii="Calibri" w:hAnsi="Calibri"/>
          <w:b/>
          <w:color w:val="525866"/>
          <w:sz w:val="22"/>
        </w:rPr>
        <w:t>Implication:</w:t>
      </w:r>
      <w:r>
        <w:rPr>
          <w:rFonts w:ascii="Calibri" w:hAnsi="Calibri"/>
          <w:color w:val="525866"/>
          <w:sz w:val="22"/>
        </w:rPr>
        <w:t xml:space="preserve"> Positive read-through for EXPD's air freight volumes and yields in Q2.</w:t>
      </w:r>
    </w:p>
    <w:p>
      <w:pPr>
        <w:pStyle w:val="ListBullet"/>
        <w:ind w:left="360" w:hanging="360"/>
      </w:pPr>
      <w:r>
        <w:rPr>
          <w:rFonts w:ascii="Calibri" w:hAnsi="Calibri"/>
          <w:b/>
          <w:color w:val="525866"/>
          <w:sz w:val="22"/>
        </w:rPr>
        <w:t>July 15, 2026 — J.B. Hunt Q2 2026 Earnings (Peer Read-Through):</w:t>
      </w:r>
      <w:r>
        <w:rPr>
          <w:rFonts w:ascii="Calibri" w:hAnsi="Calibri"/>
          <w:color w:val="525866"/>
          <w:sz w:val="22"/>
        </w:rPr>
        <w:t xml:space="preserve"> JBHT reported that truckload capacity tightened significantly during Q2, with spot rates up ~34% YoY (ex-fuel) and tender rejection rates at levels not seen since 2021-2022. Intermodal volumes set a quarterly record with 578,000+ loads. </w:t>
      </w:r>
      <w:r>
        <w:rPr>
          <w:rFonts w:ascii="Calibri" w:hAnsi="Calibri"/>
          <w:b/>
          <w:color w:val="525866"/>
          <w:sz w:val="22"/>
        </w:rPr>
        <w:t>Implication:</w:t>
      </w:r>
      <w:r>
        <w:rPr>
          <w:rFonts w:ascii="Calibri" w:hAnsi="Calibri"/>
          <w:color w:val="525866"/>
          <w:sz w:val="22"/>
        </w:rPr>
        <w:t xml:space="preserve"> Tighter domestic capacity raises EXPD's procurement costs for ground transportation but also signals strong underlying freight demand.</w:t>
      </w:r>
    </w:p>
    <w:p>
      <w:pPr>
        <w:pStyle w:val="ListBullet"/>
        <w:ind w:left="360" w:hanging="360"/>
      </w:pPr>
      <w:r>
        <w:rPr>
          <w:rFonts w:ascii="Calibri" w:hAnsi="Calibri"/>
          <w:b/>
          <w:color w:val="525866"/>
          <w:sz w:val="22"/>
        </w:rPr>
        <w:t>July 28, 2026 — UPS Q2 2026 Earnings (Peer Read-Through):</w:t>
      </w:r>
      <w:r>
        <w:rPr>
          <w:rFonts w:ascii="Calibri" w:hAnsi="Calibri"/>
          <w:color w:val="525866"/>
          <w:sz w:val="22"/>
        </w:rPr>
        <w:t xml:space="preserve"> UPS reported forwarding revenue up 8.1% YoY in Q2, 'driven by higher rates in international air freight.' China-to-U.S. trade lane returned to YoY volume growth beginning in May. Supply Chain Solutions operating margin expanded 220bps YoY. </w:t>
      </w:r>
      <w:r>
        <w:rPr>
          <w:rFonts w:ascii="Calibri" w:hAnsi="Calibri"/>
          <w:b/>
          <w:color w:val="525866"/>
          <w:sz w:val="22"/>
        </w:rPr>
        <w:t>Implication:</w:t>
      </w:r>
      <w:r>
        <w:rPr>
          <w:rFonts w:ascii="Calibri" w:hAnsi="Calibri"/>
          <w:color w:val="525866"/>
          <w:sz w:val="22"/>
        </w:rPr>
        <w:t xml:space="preserve"> Strongest direct read-through for EXPD: higher international air freight rates and China-U.S. lane recovery are directly applicable to EXPD's core business.</w:t>
      </w:r>
    </w:p>
    <w:p>
      <w:pPr>
        <w:pStyle w:val="ListBullet"/>
        <w:ind w:left="360" w:hanging="360"/>
      </w:pPr>
      <w:r>
        <w:rPr>
          <w:rFonts w:ascii="Calibri" w:hAnsi="Calibri"/>
          <w:b/>
          <w:color w:val="525866"/>
          <w:sz w:val="22"/>
        </w:rPr>
        <w:t>July 28-29, 2026 — Landstar &amp; C.H. Robinson Q2 2026 Earnings (Peer Read-Through):</w:t>
      </w:r>
      <w:r>
        <w:rPr>
          <w:rFonts w:ascii="Calibri" w:hAnsi="Calibri"/>
          <w:color w:val="525866"/>
          <w:sz w:val="22"/>
        </w:rPr>
        <w:t xml:space="preserve"> LSTR reported truck revenue per load up 17% YoY and characterized Q2 as the 'largest sequential increase in truck revenue per load over the past 15 years.' CHRW noted the freight market was 'in the trough of the freight market demand cycle' but achieved mid-cycle operating margin targets in global forwarding. </w:t>
      </w:r>
      <w:r>
        <w:rPr>
          <w:rFonts w:ascii="Calibri" w:hAnsi="Calibri"/>
          <w:b/>
          <w:color w:val="525866"/>
          <w:sz w:val="22"/>
        </w:rPr>
        <w:t>Implication:</w:t>
      </w:r>
      <w:r>
        <w:rPr>
          <w:rFonts w:ascii="Calibri" w:hAnsi="Calibri"/>
          <w:color w:val="525866"/>
          <w:sz w:val="22"/>
        </w:rPr>
        <w:t xml:space="preserve"> Mixed: strong pricing environment is positive for EXPD's yields, but CHRW's 'trough' characterization of demand is a caution flag for volumes.</w:t>
      </w:r>
    </w:p>
    <w:p>
      <w:r>
        <w:br w:type="page"/>
      </w:r>
    </w:p>
    <w:p>
      <w:pPr>
        <w:pStyle w:val="Heading1"/>
        <w:pBdr>
          <w:bottom w:val="single" w:sz="4" w:space="1" w:color="FB9120"/>
        </w:pBdr>
      </w:pPr>
      <w:r>
        <w:rPr>
          <w:rFonts w:ascii="Calibri" w:hAnsi="Calibri"/>
          <w:b/>
          <w:color w:val="3B4259"/>
          <w:sz w:val="40"/>
        </w:rPr>
        <w:t>7. Peer Commentaries — Q2 2026 Current-Quarter Read-Through</w:t>
      </w:r>
    </w:p>
    <w:p>
      <w:r>
        <w:rPr>
          <w:rFonts w:ascii="Calibri" w:hAnsi="Calibri"/>
          <w:b/>
          <w:color w:val="525866"/>
          <w:sz w:val="22"/>
        </w:rPr>
        <w:t xml:space="preserve">Key Takeaway: </w:t>
      </w:r>
      <w:r>
        <w:rPr>
          <w:rFonts w:ascii="Calibri" w:hAnsi="Calibri"/>
          <w:color w:val="525866"/>
          <w:sz w:val="22"/>
        </w:rPr>
        <w:t>Peer commentary from Q2 2026 reporters (UPS, CHRW, LSTR, JBHT, FDX) paints a picture of a tightening freight market with rising rates, strong international air freight demand, and a recovering China-U.S. trade lane — all net positives for EXPD's air forwarding business. Ocean remains challenged by overcapacity. Customs brokerage benefits from tariff complexity are broadly confirmed. Domestic trucking read-throughs are less directly applicable but signal higher procurement costs.</w:t>
      </w:r>
    </w:p>
    <w:p>
      <w:r>
        <w:rPr>
          <w:rFonts w:ascii="Calibri" w:hAnsi="Calibri"/>
          <w:b/>
          <w:color w:val="525866"/>
          <w:sz w:val="22"/>
        </w:rPr>
        <w:t xml:space="preserve">Note on Scope: </w:t>
      </w:r>
      <w:r>
        <w:rPr>
          <w:rFonts w:ascii="Calibri" w:hAnsi="Calibri"/>
          <w:color w:val="525866"/>
          <w:sz w:val="22"/>
        </w:rPr>
        <w:t>Only commentary from peers reporting after May 5, 2026 (EXPD's Q1 earnings date) that explicitly addresses calendar Q2 2026 conditions is included below. Commentary confined to prior-quarter historical results or Q3/later outlook is excluded. GXO (May 6, 2026) and FWRD (May 7, 2026) commentary is included as it was published after the Q1 print and addresses Q2 2026 forward conditions, though with noted limitations given their contract logistics / domestic focus.</w:t>
      </w:r>
    </w:p>
    <w:p>
      <w:pPr>
        <w:pStyle w:val="Heading2"/>
      </w:pPr>
      <w:r>
        <w:rPr>
          <w:rFonts w:ascii="Calibri" w:hAnsi="Calibri"/>
          <w:b/>
          <w:color w:val="3B4259"/>
          <w:sz w:val="28"/>
        </w:rPr>
        <w:t>UPS — Q2 2026 Earnings Call (July 28, 2026)</w:t>
      </w:r>
    </w:p>
    <w:p>
      <w:r>
        <w:rPr>
          <w:rFonts w:ascii="Calibri" w:hAnsi="Calibri"/>
          <w:b/>
          <w:color w:val="525866"/>
          <w:sz w:val="22"/>
        </w:rPr>
        <w:t>Relevance: HIGH — Direct forwarding read-through.</w:t>
      </w:r>
    </w:p>
    <w:p>
      <w:pPr>
        <w:pStyle w:val="ListBullet"/>
        <w:ind w:left="360" w:hanging="360"/>
      </w:pPr>
      <w:r>
        <w:rPr>
          <w:rFonts w:ascii="Calibri" w:hAnsi="Calibri"/>
          <w:b/>
          <w:color w:val="525866"/>
          <w:sz w:val="22"/>
        </w:rPr>
        <w:t>International Air Freight Rates:</w:t>
      </w:r>
      <w:r>
        <w:rPr>
          <w:rFonts w:ascii="Calibri" w:hAnsi="Calibri"/>
          <w:color w:val="525866"/>
          <w:sz w:val="22"/>
        </w:rPr>
        <w:t xml:space="preserve"> UPS CEO Carol Tomé stated: 'I'm pleased with the growth we've seen in our forwarding business, as they have been focused on driving premium volume and outside the U.S., our team has done a magnificent job of managing through trade lane shifts as trade policy changes and volume and trade moves.' UPS's Supply Chain Solutions segment reported forwarding revenue up </w:t>
      </w:r>
      <w:r>
        <w:rPr>
          <w:rFonts w:ascii="Calibri" w:hAnsi="Calibri"/>
          <w:b/>
          <w:color w:val="525866"/>
          <w:sz w:val="22"/>
        </w:rPr>
        <w:t>8.1% YoY in Q2 2026, 'driven by higher rates in international air freight.'</w:t>
      </w:r>
      <w:r>
        <w:rPr>
          <w:rFonts w:ascii="Calibri" w:hAnsi="Calibri"/>
          <w:color w:val="525866"/>
          <w:sz w:val="22"/>
        </w:rPr>
        <w:t xml:space="preserve"> This is the most direct read-through for EXPD's air freight yield in Q2.</w:t>
      </w:r>
    </w:p>
    <w:p>
      <w:pPr>
        <w:pStyle w:val="ListBullet"/>
        <w:ind w:left="360" w:hanging="360"/>
      </w:pPr>
      <w:r>
        <w:rPr>
          <w:rFonts w:ascii="Calibri" w:hAnsi="Calibri"/>
          <w:b/>
          <w:color w:val="525866"/>
          <w:sz w:val="22"/>
        </w:rPr>
        <w:t>China-U.S. Trade Lane Recovery:</w:t>
      </w:r>
      <w:r>
        <w:rPr>
          <w:rFonts w:ascii="Calibri" w:hAnsi="Calibri"/>
          <w:color w:val="525866"/>
          <w:sz w:val="22"/>
        </w:rPr>
        <w:t xml:space="preserve"> UPS CFO Brian Dykes noted: 'We returned to volume growth on the China-U.S. trade lane as we lapped the elimination of de minimis exemption for Chinese imports in May.' The China-to-U.S. lane 'returned to year-over-year growth beginning in May.' </w:t>
      </w:r>
      <w:r>
        <w:rPr>
          <w:rFonts w:ascii="Calibri" w:hAnsi="Calibri"/>
          <w:b/>
          <w:color w:val="525866"/>
          <w:sz w:val="22"/>
        </w:rPr>
        <w:t>Implication for EXPD:</w:t>
      </w:r>
      <w:r>
        <w:rPr>
          <w:rFonts w:ascii="Calibri" w:hAnsi="Calibri"/>
          <w:color w:val="525866"/>
          <w:sz w:val="22"/>
        </w:rPr>
        <w:t xml:space="preserve"> EXPD has significant Asia-origin air freight exposure; a recovering China-U.S. lane is a direct volume tailwind for Q2.</w:t>
      </w:r>
    </w:p>
    <w:p>
      <w:pPr>
        <w:pStyle w:val="ListBullet"/>
        <w:ind w:left="360" w:hanging="360"/>
      </w:pPr>
      <w:r>
        <w:rPr>
          <w:rFonts w:ascii="Calibri" w:hAnsi="Calibri"/>
          <w:b/>
          <w:color w:val="525866"/>
          <w:sz w:val="22"/>
        </w:rPr>
        <w:t>Supply Chain Solutions Margin Expansion:</w:t>
      </w:r>
      <w:r>
        <w:rPr>
          <w:rFonts w:ascii="Calibri" w:hAnsi="Calibri"/>
          <w:color w:val="525866"/>
          <w:sz w:val="22"/>
        </w:rPr>
        <w:t xml:space="preserve"> UPS Supply Chain Solutions operating profit was $291M in Q2, up $79M YoY, with operating margin of 10.2% — up 220bps YoY and the 'third consecutive quarter of year-over-year operating margin expansion.' </w:t>
      </w:r>
      <w:r>
        <w:rPr>
          <w:rFonts w:ascii="Calibri" w:hAnsi="Calibri"/>
          <w:b/>
          <w:color w:val="525866"/>
          <w:sz w:val="22"/>
        </w:rPr>
        <w:t>Implication for EXPD:</w:t>
      </w:r>
      <w:r>
        <w:rPr>
          <w:rFonts w:ascii="Calibri" w:hAnsi="Calibri"/>
          <w:color w:val="525866"/>
          <w:sz w:val="22"/>
        </w:rPr>
        <w:t xml:space="preserve"> Consistent margin expansion in forwarding-adjacent businesses supports the view that EXPD's operating efficiency gains are sustainable.</w:t>
      </w:r>
    </w:p>
    <w:p>
      <w:pPr>
        <w:pStyle w:val="ListBullet"/>
        <w:ind w:left="360" w:hanging="360"/>
      </w:pPr>
      <w:r>
        <w:rPr>
          <w:rFonts w:ascii="Calibri" w:hAnsi="Calibri"/>
          <w:b/>
          <w:color w:val="525866"/>
          <w:sz w:val="22"/>
        </w:rPr>
        <w:t>Limitation:</w:t>
      </w:r>
      <w:r>
        <w:rPr>
          <w:rFonts w:ascii="Calibri" w:hAnsi="Calibri"/>
          <w:color w:val="525866"/>
          <w:sz w:val="22"/>
        </w:rPr>
        <w:t xml:space="preserve"> UPS's forwarding business is smaller and structured differently from EXPD's pure-play forwarding model. UPS's domestic parcel commentary is not directly applicable.</w:t>
      </w:r>
    </w:p>
    <w:p>
      <w:pPr>
        <w:pStyle w:val="Heading2"/>
      </w:pPr>
      <w:r>
        <w:rPr>
          <w:rFonts w:ascii="Calibri" w:hAnsi="Calibri"/>
          <w:b/>
          <w:color w:val="3B4259"/>
          <w:sz w:val="28"/>
        </w:rPr>
        <w:t>C.H. Robinson (CHRW) — Q2 2026 Earnings Call (July 29, 2026)</w:t>
      </w:r>
    </w:p>
    <w:p>
      <w:r>
        <w:rPr>
          <w:rFonts w:ascii="Calibri" w:hAnsi="Calibri"/>
          <w:b/>
          <w:color w:val="525866"/>
          <w:sz w:val="22"/>
        </w:rPr>
        <w:t>Relevance: HIGH — Direct global forwarding read-through.</w:t>
      </w:r>
    </w:p>
    <w:p>
      <w:pPr>
        <w:pStyle w:val="ListBullet"/>
        <w:ind w:left="360" w:hanging="360"/>
      </w:pPr>
      <w:r>
        <w:rPr>
          <w:rFonts w:ascii="Calibri" w:hAnsi="Calibri"/>
          <w:b/>
          <w:color w:val="525866"/>
          <w:sz w:val="22"/>
        </w:rPr>
        <w:t>Freight Market Characterization:</w:t>
      </w:r>
      <w:r>
        <w:rPr>
          <w:rFonts w:ascii="Calibri" w:hAnsi="Calibri"/>
          <w:color w:val="525866"/>
          <w:sz w:val="22"/>
        </w:rPr>
        <w:t xml:space="preserve"> CHRW CEO Dave Bowman described Q2 as being 'in the trough of the freight market demand cycle,' with the Cass Freight Shipment Index 'declining on a year over year basis for the 15th consecutive quarter.' </w:t>
      </w:r>
      <w:r>
        <w:rPr>
          <w:rFonts w:ascii="Calibri" w:hAnsi="Calibri"/>
          <w:b/>
          <w:color w:val="525866"/>
          <w:sz w:val="22"/>
        </w:rPr>
        <w:t>Implication for EXPD:</w:t>
      </w:r>
      <w:r>
        <w:rPr>
          <w:rFonts w:ascii="Calibri" w:hAnsi="Calibri"/>
          <w:color w:val="525866"/>
          <w:sz w:val="22"/>
        </w:rPr>
        <w:t xml:space="preserve"> A cautionary signal on overall freight demand volumes, though EXPD's air and ocean forwarding may be less correlated with domestic surface freight indices.</w:t>
      </w:r>
    </w:p>
    <w:p>
      <w:pPr>
        <w:pStyle w:val="ListBullet"/>
        <w:ind w:left="360" w:hanging="360"/>
      </w:pPr>
      <w:r>
        <w:rPr>
          <w:rFonts w:ascii="Calibri" w:hAnsi="Calibri"/>
          <w:b/>
          <w:color w:val="525866"/>
          <w:sz w:val="22"/>
        </w:rPr>
        <w:t>Global Forwarding Productivity &amp; Margins:</w:t>
      </w:r>
      <w:r>
        <w:rPr>
          <w:rFonts w:ascii="Calibri" w:hAnsi="Calibri"/>
          <w:color w:val="525866"/>
          <w:sz w:val="22"/>
        </w:rPr>
        <w:t xml:space="preserve"> CHRW's Global Forwarding team 'delivered year over year productivity improvements of more than 15% in Q2 and achieved an adjusted operating margin, excluding restructuring, of 33.4%.' CHRW CFO Damon Lee noted the mid-cycle margin of 30% for global forwarding is a 'very sustainable margin and profitability level.' </w:t>
      </w:r>
      <w:r>
        <w:rPr>
          <w:rFonts w:ascii="Calibri" w:hAnsi="Calibri"/>
          <w:b/>
          <w:color w:val="525866"/>
          <w:sz w:val="22"/>
        </w:rPr>
        <w:t>Implication for EXPD:</w:t>
      </w:r>
      <w:r>
        <w:rPr>
          <w:rFonts w:ascii="Calibri" w:hAnsi="Calibri"/>
          <w:color w:val="525866"/>
          <w:sz w:val="22"/>
        </w:rPr>
        <w:t xml:space="preserve"> Positive read-through: if CHRW is achieving 33%+ forwarding margins in a 'trough' demand environment, EXPD's 30% operating efficiency target appears achievable and potentially beatable.</w:t>
      </w:r>
    </w:p>
    <w:p>
      <w:pPr>
        <w:pStyle w:val="ListBullet"/>
        <w:ind w:left="360" w:hanging="360"/>
      </w:pPr>
      <w:r>
        <w:rPr>
          <w:rFonts w:ascii="Calibri" w:hAnsi="Calibri"/>
          <w:b/>
          <w:color w:val="525866"/>
          <w:sz w:val="22"/>
        </w:rPr>
        <w:t>Revenue Growth Despite Demand Trough:</w:t>
      </w:r>
      <w:r>
        <w:rPr>
          <w:rFonts w:ascii="Calibri" w:hAnsi="Calibri"/>
          <w:color w:val="525866"/>
          <w:sz w:val="22"/>
        </w:rPr>
        <w:t xml:space="preserve"> CHRW total revenues increased 19.3% YoY in Q2, with Adjusted Gross Profit up 6.5% YoY. Monthly AGP per business day was up 9% in April, 7% in May, and 3% in June — decelerating but still positive. </w:t>
      </w:r>
      <w:r>
        <w:rPr>
          <w:rFonts w:ascii="Calibri" w:hAnsi="Calibri"/>
          <w:b/>
          <w:color w:val="525866"/>
          <w:sz w:val="22"/>
        </w:rPr>
        <w:t>Implication for EXPD:</w:t>
      </w:r>
      <w:r>
        <w:rPr>
          <w:rFonts w:ascii="Calibri" w:hAnsi="Calibri"/>
          <w:color w:val="525866"/>
          <w:sz w:val="22"/>
        </w:rPr>
        <w:t xml:space="preserve"> Revenue growth driven by rate increases (not volume) is consistent with EXPD's air freight yield story.</w:t>
      </w:r>
    </w:p>
    <w:p>
      <w:pPr>
        <w:pStyle w:val="ListBullet"/>
        <w:ind w:left="360" w:hanging="360"/>
      </w:pPr>
      <w:r>
        <w:rPr>
          <w:rFonts w:ascii="Calibri" w:hAnsi="Calibri"/>
          <w:b/>
          <w:color w:val="525866"/>
          <w:sz w:val="22"/>
        </w:rPr>
        <w:t>AI Automation in Forwarding:</w:t>
      </w:r>
      <w:r>
        <w:rPr>
          <w:rFonts w:ascii="Calibri" w:hAnsi="Calibri"/>
          <w:color w:val="525866"/>
          <w:sz w:val="22"/>
        </w:rPr>
        <w:t xml:space="preserve"> CHRW Chief Strategy Officer Arun Rajan noted: 'The first half of 2026 in Global Forwarding has been about making a deliberate shift in how work gets done across the network... rolling out AI powered automations designed to reduce manual effort, improve data quality, and enable our teams to focus on higher value work.' </w:t>
      </w:r>
      <w:r>
        <w:rPr>
          <w:rFonts w:ascii="Calibri" w:hAnsi="Calibri"/>
          <w:b/>
          <w:color w:val="525866"/>
          <w:sz w:val="22"/>
        </w:rPr>
        <w:t>Implication for EXPD:</w:t>
      </w:r>
      <w:r>
        <w:rPr>
          <w:rFonts w:ascii="Calibri" w:hAnsi="Calibri"/>
          <w:color w:val="525866"/>
          <w:sz w:val="22"/>
        </w:rPr>
        <w:t xml:space="preserve"> Consistent with EXPD's own commentary on AI investments beginning to yield productivity gains.</w:t>
      </w:r>
    </w:p>
    <w:p>
      <w:pPr>
        <w:pStyle w:val="ListBullet"/>
        <w:ind w:left="360" w:hanging="360"/>
      </w:pPr>
      <w:r>
        <w:rPr>
          <w:rFonts w:ascii="Calibri" w:hAnsi="Calibri"/>
          <w:b/>
          <w:color w:val="525866"/>
          <w:sz w:val="22"/>
        </w:rPr>
        <w:t>Limitation:</w:t>
      </w:r>
      <w:r>
        <w:rPr>
          <w:rFonts w:ascii="Calibri" w:hAnsi="Calibri"/>
          <w:color w:val="525866"/>
          <w:sz w:val="22"/>
        </w:rPr>
        <w:t xml:space="preserve"> CHRW's 'trough' characterization of demand is primarily driven by North American surface transportation (NAST), which is not EXPD's core business. CHRW's global forwarding commentary is the more relevant read-through.</w:t>
      </w:r>
    </w:p>
    <w:p>
      <w:pPr>
        <w:pStyle w:val="Heading2"/>
      </w:pPr>
      <w:r>
        <w:rPr>
          <w:rFonts w:ascii="Calibri" w:hAnsi="Calibri"/>
          <w:b/>
          <w:color w:val="3B4259"/>
          <w:sz w:val="28"/>
        </w:rPr>
        <w:t>Landstar System (LSTR) — Q2 2026 Earnings Call (July 28, 2026)</w:t>
      </w:r>
    </w:p>
    <w:p>
      <w:r>
        <w:rPr>
          <w:rFonts w:ascii="Calibri" w:hAnsi="Calibri"/>
          <w:b/>
          <w:color w:val="525866"/>
          <w:sz w:val="22"/>
        </w:rPr>
        <w:t>Relevance: MODERATE — Primarily domestic trucking; limited direct forwarding read-through.</w:t>
      </w:r>
    </w:p>
    <w:p>
      <w:pPr>
        <w:pStyle w:val="ListBullet"/>
        <w:ind w:left="360" w:hanging="360"/>
      </w:pPr>
      <w:r>
        <w:rPr>
          <w:rFonts w:ascii="Calibri" w:hAnsi="Calibri"/>
          <w:b/>
          <w:color w:val="525866"/>
          <w:sz w:val="22"/>
        </w:rPr>
        <w:t>Freight Market Inflection:</w:t>
      </w:r>
      <w:r>
        <w:rPr>
          <w:rFonts w:ascii="Calibri" w:hAnsi="Calibri"/>
          <w:color w:val="525866"/>
          <w:sz w:val="22"/>
        </w:rPr>
        <w:t xml:space="preserve"> LSTR CEO Frank Lonigro stated: 'Market conditions, which have favored the shipper since late 2022, have begun shifting rather rapidly in favor of the transportation provider.' Truck revenue per load was up 17% YoY in Q2, with the sequential increase being 'the largest sequential increase in truck revenue per load over the past 15 years.' </w:t>
      </w:r>
      <w:r>
        <w:rPr>
          <w:rFonts w:ascii="Calibri" w:hAnsi="Calibri"/>
          <w:b/>
          <w:color w:val="525866"/>
          <w:sz w:val="22"/>
        </w:rPr>
        <w:t>Implication for EXPD:</w:t>
      </w:r>
      <w:r>
        <w:rPr>
          <w:rFonts w:ascii="Calibri" w:hAnsi="Calibri"/>
          <w:color w:val="525866"/>
          <w:sz w:val="22"/>
        </w:rPr>
        <w:t xml:space="preserve"> A tightening domestic freight market signals higher procurement costs for EXPD's ground transportation components, but also confirms the broader freight market inflection that is driving air freight rate increases.</w:t>
      </w:r>
    </w:p>
    <w:p>
      <w:pPr>
        <w:pStyle w:val="ListBullet"/>
        <w:ind w:left="360" w:hanging="360"/>
      </w:pPr>
      <w:r>
        <w:rPr>
          <w:rFonts w:ascii="Calibri" w:hAnsi="Calibri"/>
          <w:b/>
          <w:color w:val="525866"/>
          <w:sz w:val="22"/>
        </w:rPr>
        <w:t>Demand Outperforming Seasonality:</w:t>
      </w:r>
      <w:r>
        <w:rPr>
          <w:rFonts w:ascii="Calibri" w:hAnsi="Calibri"/>
          <w:color w:val="525866"/>
          <w:sz w:val="22"/>
        </w:rPr>
        <w:t xml:space="preserve"> LSTR noted that 'the freight environment in the 2026 second quarter was characterized by solid demand from a seasonal perspective, with a number of loads hauled via truck, slightly outpacing normal seasonal patterns' — 'the first time this has been achieved in the second quarter since 2021.' ISM index was above 50 for all six months of 2026. </w:t>
      </w:r>
      <w:r>
        <w:rPr>
          <w:rFonts w:ascii="Calibri" w:hAnsi="Calibri"/>
          <w:b/>
          <w:color w:val="525866"/>
          <w:sz w:val="22"/>
        </w:rPr>
        <w:t>Implication for EXPD:</w:t>
      </w:r>
      <w:r>
        <w:rPr>
          <w:rFonts w:ascii="Calibri" w:hAnsi="Calibri"/>
          <w:color w:val="525866"/>
          <w:sz w:val="22"/>
        </w:rPr>
        <w:t xml:space="preserve"> Positive macro backdrop for freight demand broadly; ISM above 50 is historically correlated with higher freight volumes.</w:t>
      </w:r>
    </w:p>
    <w:p>
      <w:pPr>
        <w:pStyle w:val="ListBullet"/>
        <w:ind w:left="360" w:hanging="360"/>
      </w:pPr>
      <w:r>
        <w:rPr>
          <w:rFonts w:ascii="Calibri" w:hAnsi="Calibri"/>
          <w:b/>
          <w:color w:val="525866"/>
          <w:sz w:val="22"/>
        </w:rPr>
        <w:t>Limitation:</w:t>
      </w:r>
      <w:r>
        <w:rPr>
          <w:rFonts w:ascii="Calibri" w:hAnsi="Calibri"/>
          <w:color w:val="525866"/>
          <w:sz w:val="22"/>
        </w:rPr>
        <w:t xml:space="preserve"> LSTR is a domestic trucking broker with no direct air or ocean forwarding operations. The read-through to EXPD is indirect — primarily through the macro freight demand signal and procurement cost implications.</w:t>
      </w:r>
    </w:p>
    <w:p>
      <w:pPr>
        <w:pStyle w:val="Heading2"/>
      </w:pPr>
      <w:r>
        <w:rPr>
          <w:rFonts w:ascii="Calibri" w:hAnsi="Calibri"/>
          <w:b/>
          <w:color w:val="3B4259"/>
          <w:sz w:val="28"/>
        </w:rPr>
        <w:t>J.B. Hunt Transport Services (JBHT) — Q2 2026 Earnings Call (July 15, 2026)</w:t>
      </w:r>
    </w:p>
    <w:p>
      <w:r>
        <w:rPr>
          <w:rFonts w:ascii="Calibri" w:hAnsi="Calibri"/>
          <w:b/>
          <w:color w:val="525866"/>
          <w:sz w:val="22"/>
        </w:rPr>
        <w:t>Relevance: MODERATE — Intermodal and capacity read-through; limited direct forwarding applicability.</w:t>
      </w:r>
    </w:p>
    <w:p>
      <w:pPr>
        <w:pStyle w:val="ListBullet"/>
        <w:ind w:left="360" w:hanging="360"/>
      </w:pPr>
      <w:r>
        <w:rPr>
          <w:rFonts w:ascii="Calibri" w:hAnsi="Calibri"/>
          <w:b/>
          <w:color w:val="525866"/>
          <w:sz w:val="22"/>
        </w:rPr>
        <w:t>Capacity Tightening:</w:t>
      </w:r>
      <w:r>
        <w:rPr>
          <w:rFonts w:ascii="Calibri" w:hAnsi="Calibri"/>
          <w:color w:val="525866"/>
          <w:sz w:val="22"/>
        </w:rPr>
        <w:t xml:space="preserve"> JBHT CEO Shelly Simpson stated: 'Capacity has tightened across the industry as safety focused enforcement and broader supply pressures continue to affect available truckload capacity. We saw that tightening build throughout the quarter, including a noticeable step change around the annual road check event in early May that has persisted.' </w:t>
      </w:r>
      <w:r>
        <w:rPr>
          <w:rFonts w:ascii="Calibri" w:hAnsi="Calibri"/>
          <w:b/>
          <w:color w:val="525866"/>
          <w:sz w:val="22"/>
        </w:rPr>
        <w:t>Implication for EXPD:</w:t>
      </w:r>
      <w:r>
        <w:rPr>
          <w:rFonts w:ascii="Calibri" w:hAnsi="Calibri"/>
          <w:color w:val="525866"/>
          <w:sz w:val="22"/>
        </w:rPr>
        <w:t xml:space="preserve"> Tighter domestic capacity raises EXPD's ground transportation procurement costs but also signals a broader freight market tightening that supports air freight rate increases.</w:t>
      </w:r>
    </w:p>
    <w:p>
      <w:pPr>
        <w:pStyle w:val="ListBullet"/>
        <w:ind w:left="360" w:hanging="360"/>
      </w:pPr>
      <w:r>
        <w:rPr>
          <w:rFonts w:ascii="Calibri" w:hAnsi="Calibri"/>
          <w:b/>
          <w:color w:val="525866"/>
          <w:sz w:val="22"/>
        </w:rPr>
        <w:t>Spot Rate Surge:</w:t>
      </w:r>
      <w:r>
        <w:rPr>
          <w:rFonts w:ascii="Calibri" w:hAnsi="Calibri"/>
          <w:color w:val="525866"/>
          <w:sz w:val="22"/>
        </w:rPr>
        <w:t xml:space="preserve"> JBHT EVP Spencer Frazier noted that 'several industry indicators, including higher tender rejections, higher spot pricing, and lower driver employment, move towards levels not seen since 2021 and 2022.' DAT spot rates in Q2 increased approximately 34% YoY (ex-fuel), up from ~19% in Q1. </w:t>
      </w:r>
      <w:r>
        <w:rPr>
          <w:rFonts w:ascii="Calibri" w:hAnsi="Calibri"/>
          <w:b/>
          <w:color w:val="525866"/>
          <w:sz w:val="22"/>
        </w:rPr>
        <w:t>Implication for EXPD:</w:t>
      </w:r>
      <w:r>
        <w:rPr>
          <w:rFonts w:ascii="Calibri" w:hAnsi="Calibri"/>
          <w:color w:val="525866"/>
          <w:sz w:val="22"/>
        </w:rPr>
        <w:t xml:space="preserve"> Rising spot rates confirm the freight market inflection; EXPD benefits from higher rates in air freight, though domestic trucking rate increases are a cost headwind.</w:t>
      </w:r>
    </w:p>
    <w:p>
      <w:pPr>
        <w:pStyle w:val="ListBullet"/>
        <w:ind w:left="360" w:hanging="360"/>
      </w:pPr>
      <w:r>
        <w:rPr>
          <w:rFonts w:ascii="Calibri" w:hAnsi="Calibri"/>
          <w:b/>
          <w:color w:val="525866"/>
          <w:sz w:val="22"/>
        </w:rPr>
        <w:t>Intermodal Volume Record:</w:t>
      </w:r>
      <w:r>
        <w:rPr>
          <w:rFonts w:ascii="Calibri" w:hAnsi="Calibri"/>
          <w:color w:val="525866"/>
          <w:sz w:val="22"/>
        </w:rPr>
        <w:t xml:space="preserve"> JBHT's intermodal segment set a quarterly volume record with 578,000+ loads, up 10% YoY, with volumes up 9% in April, 9% in May, and 12% in June. Darren Field (President, Intermodal) noted 'significant road to rail conversion opportunities in the east, particularly as rising truckload rates, fuel prices and tightening truckload capacity make intermodal an increasingly attractive solution for shippers.' </w:t>
      </w:r>
      <w:r>
        <w:rPr>
          <w:rFonts w:ascii="Calibri" w:hAnsi="Calibri"/>
          <w:b/>
          <w:color w:val="525866"/>
          <w:sz w:val="22"/>
        </w:rPr>
        <w:t>Implication for EXPD:</w:t>
      </w:r>
      <w:r>
        <w:rPr>
          <w:rFonts w:ascii="Calibri" w:hAnsi="Calibri"/>
          <w:color w:val="525866"/>
          <w:sz w:val="22"/>
        </w:rPr>
        <w:t xml:space="preserve"> Strong intermodal demand signals robust underlying freight activity; EXPD's non-asset model benefits from higher overall freight volumes.</w:t>
      </w:r>
    </w:p>
    <w:p>
      <w:pPr>
        <w:pStyle w:val="ListBullet"/>
        <w:ind w:left="360" w:hanging="360"/>
      </w:pPr>
      <w:r>
        <w:rPr>
          <w:rFonts w:ascii="Calibri" w:hAnsi="Calibri"/>
          <w:b/>
          <w:color w:val="525866"/>
          <w:sz w:val="22"/>
        </w:rPr>
        <w:t>Demand Characterization:</w:t>
      </w:r>
      <w:r>
        <w:rPr>
          <w:rFonts w:ascii="Calibri" w:hAnsi="Calibri"/>
          <w:color w:val="525866"/>
          <w:sz w:val="22"/>
        </w:rPr>
        <w:t xml:space="preserve"> JBHT noted that 'while demand is improving gradually, the current market tightness is being driven primarily by supply conditions.' </w:t>
      </w:r>
      <w:r>
        <w:rPr>
          <w:rFonts w:ascii="Calibri" w:hAnsi="Calibri"/>
          <w:b/>
          <w:color w:val="525866"/>
          <w:sz w:val="22"/>
        </w:rPr>
        <w:t>Implication for EXPD:</w:t>
      </w:r>
      <w:r>
        <w:rPr>
          <w:rFonts w:ascii="Calibri" w:hAnsi="Calibri"/>
          <w:color w:val="525866"/>
          <w:sz w:val="22"/>
        </w:rPr>
        <w:t xml:space="preserve"> Supply-driven tightening (not demand surge) means the rate environment may be more durable but volume growth could remain modest.</w:t>
      </w:r>
    </w:p>
    <w:p>
      <w:pPr>
        <w:pStyle w:val="ListBullet"/>
        <w:ind w:left="360" w:hanging="360"/>
      </w:pPr>
      <w:r>
        <w:rPr>
          <w:rFonts w:ascii="Calibri" w:hAnsi="Calibri"/>
          <w:b/>
          <w:color w:val="525866"/>
          <w:sz w:val="22"/>
        </w:rPr>
        <w:t>Limitation:</w:t>
      </w:r>
      <w:r>
        <w:rPr>
          <w:rFonts w:ascii="Calibri" w:hAnsi="Calibri"/>
          <w:color w:val="525866"/>
          <w:sz w:val="22"/>
        </w:rPr>
        <w:t xml:space="preserve"> JBHT's core business is domestic intermodal and truckload; no direct air or ocean forwarding operations. The read-through to EXPD is primarily through the macro freight market signal.</w:t>
      </w:r>
    </w:p>
    <w:p>
      <w:pPr>
        <w:pStyle w:val="Heading2"/>
      </w:pPr>
      <w:r>
        <w:rPr>
          <w:rFonts w:ascii="Calibri" w:hAnsi="Calibri"/>
          <w:b/>
          <w:color w:val="3B4259"/>
          <w:sz w:val="28"/>
        </w:rPr>
        <w:t>FedEx (FDX) — Q4 FY2026 Earnings Call (June 23, 2026)</w:t>
      </w:r>
    </w:p>
    <w:p>
      <w:r>
        <w:rPr>
          <w:rFonts w:ascii="Calibri" w:hAnsi="Calibri"/>
          <w:b/>
          <w:color w:val="525866"/>
          <w:sz w:val="22"/>
        </w:rPr>
        <w:t>Relevance: HIGH — Direct international air freight read-through.</w:t>
      </w:r>
    </w:p>
    <w:p>
      <w:pPr>
        <w:pStyle w:val="ListBullet"/>
        <w:ind w:left="360" w:hanging="360"/>
      </w:pPr>
      <w:r>
        <w:rPr>
          <w:rFonts w:ascii="Calibri" w:hAnsi="Calibri"/>
          <w:b/>
          <w:color w:val="525866"/>
          <w:sz w:val="22"/>
        </w:rPr>
        <w:t>International Air Freight Growth:</w:t>
      </w:r>
      <w:r>
        <w:rPr>
          <w:rFonts w:ascii="Calibri" w:hAnsi="Calibri"/>
          <w:color w:val="525866"/>
          <w:sz w:val="22"/>
        </w:rPr>
        <w:t xml:space="preserve"> FedEx CCO Bree Carere noted: 'We continue to win share in the international export freight market, enabled by tricolor, with average daily pounds up 12% year over year.' International export package volumes were up 5% YoY for the second consecutive quarter. </w:t>
      </w:r>
      <w:r>
        <w:rPr>
          <w:rFonts w:ascii="Calibri" w:hAnsi="Calibri"/>
          <w:b/>
          <w:color w:val="525866"/>
          <w:sz w:val="22"/>
        </w:rPr>
        <w:t>Implication for EXPD:</w:t>
      </w:r>
      <w:r>
        <w:rPr>
          <w:rFonts w:ascii="Calibri" w:hAnsi="Calibri"/>
          <w:color w:val="525866"/>
          <w:sz w:val="22"/>
        </w:rPr>
        <w:t xml:space="preserve"> Strong international air freight demand is a direct positive read-through for EXPD's air forwarding volumes and yields in Q2.</w:t>
      </w:r>
    </w:p>
    <w:p>
      <w:pPr>
        <w:pStyle w:val="ListBullet"/>
        <w:ind w:left="360" w:hanging="360"/>
      </w:pPr>
      <w:r>
        <w:rPr>
          <w:rFonts w:ascii="Calibri" w:hAnsi="Calibri"/>
          <w:b/>
          <w:color w:val="525866"/>
          <w:sz w:val="22"/>
        </w:rPr>
        <w:t>June 2026 Strength:</w:t>
      </w:r>
      <w:r>
        <w:rPr>
          <w:rFonts w:ascii="Calibri" w:hAnsi="Calibri"/>
          <w:color w:val="525866"/>
          <w:sz w:val="22"/>
        </w:rPr>
        <w:t xml:space="preserve"> FedEx CFO Claude Russ specifically highlighted June 2026 performance: 'June... is very strong. It's got 22 operating days. It's got five Mondays. A pilot contract will not have started yet. So we expect very strong absolute performance in June.' </w:t>
      </w:r>
      <w:r>
        <w:rPr>
          <w:rFonts w:ascii="Calibri" w:hAnsi="Calibri"/>
          <w:b/>
          <w:color w:val="525866"/>
          <w:sz w:val="22"/>
        </w:rPr>
        <w:t>Implication for EXPD:</w:t>
      </w:r>
      <w:r>
        <w:rPr>
          <w:rFonts w:ascii="Calibri" w:hAnsi="Calibri"/>
          <w:color w:val="525866"/>
          <w:sz w:val="22"/>
        </w:rPr>
        <w:t xml:space="preserve"> June is the final month of EXPD's Q2 2026; FedEx's expectation of 'very strong' June performance is a direct positive read-through for EXPD's quarter-end momentum.</w:t>
      </w:r>
    </w:p>
    <w:p>
      <w:pPr>
        <w:pStyle w:val="ListBullet"/>
        <w:ind w:left="360" w:hanging="360"/>
      </w:pPr>
      <w:r>
        <w:rPr>
          <w:rFonts w:ascii="Calibri" w:hAnsi="Calibri"/>
          <w:b/>
          <w:color w:val="525866"/>
          <w:sz w:val="22"/>
        </w:rPr>
        <w:t>Asia-Pacific Momentum:</w:t>
      </w:r>
      <w:r>
        <w:rPr>
          <w:rFonts w:ascii="Calibri" w:hAnsi="Calibri"/>
          <w:color w:val="525866"/>
          <w:sz w:val="22"/>
        </w:rPr>
        <w:t xml:space="preserve"> FedEx highlighted 'double digit international export revenue growth on the Asia-Europe plane within Asia and U.S. outbound lanes in Q4.' APAC team built 'incredible momentum' in data center and AI space. </w:t>
      </w:r>
      <w:r>
        <w:rPr>
          <w:rFonts w:ascii="Calibri" w:hAnsi="Calibri"/>
          <w:b/>
          <w:color w:val="525866"/>
          <w:sz w:val="22"/>
        </w:rPr>
        <w:t>Implication for EXPD:</w:t>
      </w:r>
      <w:r>
        <w:rPr>
          <w:rFonts w:ascii="Calibri" w:hAnsi="Calibri"/>
          <w:color w:val="525866"/>
          <w:sz w:val="22"/>
        </w:rPr>
        <w:t xml:space="preserve"> EXPD's Q1 2026 commentary highlighted strong demand from 'hyperscalers and other high-value technology customers' — FedEx's APAC momentum confirms this demand is sustained into Q2.</w:t>
      </w:r>
    </w:p>
    <w:p>
      <w:pPr>
        <w:pStyle w:val="ListBullet"/>
        <w:ind w:left="360" w:hanging="360"/>
      </w:pPr>
      <w:r>
        <w:rPr>
          <w:rFonts w:ascii="Calibri" w:hAnsi="Calibri"/>
          <w:b/>
          <w:color w:val="525866"/>
          <w:sz w:val="22"/>
        </w:rPr>
        <w:t>Tariff Refund Processing:</w:t>
      </w:r>
      <w:r>
        <w:rPr>
          <w:rFonts w:ascii="Calibri" w:hAnsi="Calibri"/>
          <w:color w:val="525866"/>
          <w:sz w:val="22"/>
        </w:rPr>
        <w:t xml:space="preserve"> FedEx noted: 'In April, we began to file claims with CBP on behalf of our customers, and beginning in August, we will be passing these refunds through to our customers.' </w:t>
      </w:r>
      <w:r>
        <w:rPr>
          <w:rFonts w:ascii="Calibri" w:hAnsi="Calibri"/>
          <w:b/>
          <w:color w:val="525866"/>
          <w:sz w:val="22"/>
        </w:rPr>
        <w:t>Implication for EXPD:</w:t>
      </w:r>
      <w:r>
        <w:rPr>
          <w:rFonts w:ascii="Calibri" w:hAnsi="Calibri"/>
          <w:color w:val="525866"/>
          <w:sz w:val="22"/>
        </w:rPr>
        <w:t xml:space="preserve"> Confirms the tariff refund processing opportunity that EXPD's management highlighted as a driver of customs brokerage demand.</w:t>
      </w:r>
    </w:p>
    <w:p>
      <w:pPr>
        <w:pStyle w:val="ListBullet"/>
        <w:ind w:left="360" w:hanging="360"/>
      </w:pPr>
      <w:r>
        <w:rPr>
          <w:rFonts w:ascii="Calibri" w:hAnsi="Calibri"/>
          <w:b/>
          <w:color w:val="525866"/>
          <w:sz w:val="22"/>
        </w:rPr>
        <w:t>Limitation:</w:t>
      </w:r>
      <w:r>
        <w:rPr>
          <w:rFonts w:ascii="Calibri" w:hAnsi="Calibri"/>
          <w:color w:val="525866"/>
          <w:sz w:val="22"/>
        </w:rPr>
        <w:t xml:space="preserve"> FedEx's Q4 FY2026 ended May 31, 2026, so the 'Q4' commentary covers February-May 2026, not the full calendar Q2 2026 (April-June). The June 2026 commentary is forward-looking from FedEx's perspective. FedEx's integrated carrier model differs from EXPD's non-asset forwarding model.</w:t>
      </w:r>
    </w:p>
    <w:p>
      <w:pPr>
        <w:pStyle w:val="Heading2"/>
      </w:pPr>
      <w:r>
        <w:rPr>
          <w:rFonts w:ascii="Calibri" w:hAnsi="Calibri"/>
          <w:b/>
          <w:color w:val="3B4259"/>
          <w:sz w:val="28"/>
        </w:rPr>
        <w:t>GXO Logistics (GXO) — Q1 2026 Earnings Call (May 6, 2026)</w:t>
      </w:r>
    </w:p>
    <w:p>
      <w:r>
        <w:rPr>
          <w:rFonts w:ascii="Calibri" w:hAnsi="Calibri"/>
          <w:b/>
          <w:color w:val="525866"/>
          <w:sz w:val="22"/>
        </w:rPr>
        <w:t>Relevance: LOW-MODERATE — Contract logistics; limited direct forwarding read-through. Included as it was published after EXPD's Q1 print and addresses Q2 2026 forward conditions.</w:t>
      </w:r>
    </w:p>
    <w:p>
      <w:pPr>
        <w:pStyle w:val="ListBullet"/>
        <w:ind w:left="360" w:hanging="360"/>
      </w:pPr>
      <w:r>
        <w:rPr>
          <w:rFonts w:ascii="Calibri" w:hAnsi="Calibri"/>
          <w:b/>
          <w:color w:val="525866"/>
          <w:sz w:val="22"/>
        </w:rPr>
        <w:t>Demand Acceleration:</w:t>
      </w:r>
      <w:r>
        <w:rPr>
          <w:rFonts w:ascii="Calibri" w:hAnsi="Calibri"/>
          <w:color w:val="525866"/>
          <w:sz w:val="22"/>
        </w:rPr>
        <w:t xml:space="preserve"> GXO CEO Patrick Kelleher stated: 'We're seeing demand accelerating, with our pipeline growing to an all-time high of $2.7 billion.' North American pipeline grew 35% sequentially. </w:t>
      </w:r>
      <w:r>
        <w:rPr>
          <w:rFonts w:ascii="Calibri" w:hAnsi="Calibri"/>
          <w:b/>
          <w:color w:val="525866"/>
          <w:sz w:val="22"/>
        </w:rPr>
        <w:t>Implication for EXPD:</w:t>
      </w:r>
      <w:r>
        <w:rPr>
          <w:rFonts w:ascii="Calibri" w:hAnsi="Calibri"/>
          <w:color w:val="525866"/>
          <w:sz w:val="22"/>
        </w:rPr>
        <w:t xml:space="preserve"> Broad logistics demand acceleration is a positive macro signal, though GXO's contract logistics model is structurally different from EXPD's forwarding business.</w:t>
      </w:r>
    </w:p>
    <w:p>
      <w:pPr>
        <w:pStyle w:val="ListBullet"/>
        <w:ind w:left="360" w:hanging="360"/>
      </w:pPr>
      <w:r>
        <w:rPr>
          <w:rFonts w:ascii="Calibri" w:hAnsi="Calibri"/>
          <w:b/>
          <w:color w:val="525866"/>
          <w:sz w:val="22"/>
        </w:rPr>
        <w:t>Q2 2026 Organic Revenue Guidance:</w:t>
      </w:r>
      <w:r>
        <w:rPr>
          <w:rFonts w:ascii="Calibri" w:hAnsi="Calibri"/>
          <w:color w:val="525866"/>
          <w:sz w:val="22"/>
        </w:rPr>
        <w:t xml:space="preserve"> GXO CFO Mark Suchinski guided Q2 2026 organic revenue growth to be 'about the same that we saw in the first quarter' (~4.1%), with the first half at 'the lower end of the range' and the back half at 'the higher end.' </w:t>
      </w:r>
      <w:r>
        <w:rPr>
          <w:rFonts w:ascii="Calibri" w:hAnsi="Calibri"/>
          <w:b/>
          <w:color w:val="525866"/>
          <w:sz w:val="22"/>
        </w:rPr>
        <w:t>Implication for EXPD:</w:t>
      </w:r>
      <w:r>
        <w:rPr>
          <w:rFonts w:ascii="Calibri" w:hAnsi="Calibri"/>
          <w:color w:val="525866"/>
          <w:sz w:val="22"/>
        </w:rPr>
        <w:t xml:space="preserve"> Modest Q2 growth expectation from a contract logistics peer suggests the broader logistics market is not in a sharp acceleration phase, tempering expectations for EXPD's volume growth.</w:t>
      </w:r>
    </w:p>
    <w:p>
      <w:pPr>
        <w:pStyle w:val="ListBullet"/>
        <w:ind w:left="360" w:hanging="360"/>
      </w:pPr>
      <w:r>
        <w:rPr>
          <w:rFonts w:ascii="Calibri" w:hAnsi="Calibri"/>
          <w:b/>
          <w:color w:val="525866"/>
          <w:sz w:val="22"/>
        </w:rPr>
        <w:t>Trade Lane Shifts:</w:t>
      </w:r>
      <w:r>
        <w:rPr>
          <w:rFonts w:ascii="Calibri" w:hAnsi="Calibri"/>
          <w:color w:val="525866"/>
          <w:sz w:val="22"/>
        </w:rPr>
        <w:t xml:space="preserve"> GXO noted 'acceleration of onshoring, particularly around manufacturing' in North America and 'increasing flows directly from China and Southeast Asia' to the U.K. and Europe. </w:t>
      </w:r>
      <w:r>
        <w:rPr>
          <w:rFonts w:ascii="Calibri" w:hAnsi="Calibri"/>
          <w:b/>
          <w:color w:val="525866"/>
          <w:sz w:val="22"/>
        </w:rPr>
        <w:t>Implication for EXPD:</w:t>
      </w:r>
      <w:r>
        <w:rPr>
          <w:rFonts w:ascii="Calibri" w:hAnsi="Calibri"/>
          <w:color w:val="525866"/>
          <w:sz w:val="22"/>
        </w:rPr>
        <w:t xml:space="preserve"> Trade lane diversification is consistent with EXPD's commentary on tariff-driven trade pattern changes; EXPD's global network is positioned to benefit from these shifts.</w:t>
      </w:r>
    </w:p>
    <w:p>
      <w:pPr>
        <w:pStyle w:val="ListBullet"/>
        <w:ind w:left="360" w:hanging="360"/>
      </w:pPr>
      <w:r>
        <w:rPr>
          <w:rFonts w:ascii="Calibri" w:hAnsi="Calibri"/>
          <w:b/>
          <w:color w:val="525866"/>
          <w:sz w:val="22"/>
        </w:rPr>
        <w:t>Limitation:</w:t>
      </w:r>
      <w:r>
        <w:rPr>
          <w:rFonts w:ascii="Calibri" w:hAnsi="Calibri"/>
          <w:color w:val="525866"/>
          <w:sz w:val="22"/>
        </w:rPr>
        <w:t xml:space="preserve"> GXO is a contract logistics provider (warehousing, distribution) with no direct air or ocean freight forwarding operations. The read-through to EXPD's core business is indirect and limited.</w:t>
      </w:r>
    </w:p>
    <w:p>
      <w:pPr>
        <w:pStyle w:val="Heading2"/>
      </w:pPr>
      <w:r>
        <w:rPr>
          <w:rFonts w:ascii="Calibri" w:hAnsi="Calibri"/>
          <w:b/>
          <w:color w:val="3B4259"/>
          <w:sz w:val="28"/>
        </w:rPr>
        <w:t>Forward Air (FWRD) — Q1 2026 Earnings Call (May 7, 2026)</w:t>
      </w:r>
    </w:p>
    <w:p>
      <w:r>
        <w:rPr>
          <w:rFonts w:ascii="Calibri" w:hAnsi="Calibri"/>
          <w:b/>
          <w:color w:val="525866"/>
          <w:sz w:val="22"/>
        </w:rPr>
        <w:t>Relevance: MODERATE — Omni Logistics segment is a direct air/ocean forwarding peer; domestic LTL commentary is less applicable.</w:t>
      </w:r>
    </w:p>
    <w:p>
      <w:pPr>
        <w:pStyle w:val="ListBullet"/>
        <w:ind w:left="360" w:hanging="360"/>
      </w:pPr>
      <w:r>
        <w:rPr>
          <w:rFonts w:ascii="Calibri" w:hAnsi="Calibri"/>
          <w:b/>
          <w:color w:val="525866"/>
          <w:sz w:val="22"/>
        </w:rPr>
        <w:t>Freight Recession Characterization:</w:t>
      </w:r>
      <w:r>
        <w:rPr>
          <w:rFonts w:ascii="Calibri" w:hAnsi="Calibri"/>
          <w:color w:val="525866"/>
          <w:sz w:val="22"/>
        </w:rPr>
        <w:t xml:space="preserve"> FWRD CEO Shawn Stewart described the company as operating 'despite a prolonged, multi-year freight recession.' </w:t>
      </w:r>
      <w:r>
        <w:rPr>
          <w:rFonts w:ascii="Calibri" w:hAnsi="Calibri"/>
          <w:b/>
          <w:color w:val="525866"/>
          <w:sz w:val="22"/>
        </w:rPr>
        <w:t>Implication for EXPD:</w:t>
      </w:r>
      <w:r>
        <w:rPr>
          <w:rFonts w:ascii="Calibri" w:hAnsi="Calibri"/>
          <w:color w:val="525866"/>
          <w:sz w:val="22"/>
        </w:rPr>
        <w:t xml:space="preserve"> A cautionary macro signal, though EXPD's Q1 2026 results suggest it is outperforming the broader freight market through its non-asset model and customs brokerage franchise.</w:t>
      </w:r>
    </w:p>
    <w:p>
      <w:pPr>
        <w:pStyle w:val="ListBullet"/>
        <w:ind w:left="360" w:hanging="360"/>
      </w:pPr>
      <w:r>
        <w:rPr>
          <w:rFonts w:ascii="Calibri" w:hAnsi="Calibri"/>
          <w:b/>
          <w:color w:val="525866"/>
          <w:sz w:val="22"/>
        </w:rPr>
        <w:t>Early Q2 Volume Strength:</w:t>
      </w:r>
      <w:r>
        <w:rPr>
          <w:rFonts w:ascii="Calibri" w:hAnsi="Calibri"/>
          <w:color w:val="525866"/>
          <w:sz w:val="22"/>
        </w:rPr>
        <w:t xml:space="preserve"> FWRD CFO Jamie Pierson noted: 'Over the last 2 weeks of the quarter, and I'd say even kind of going into April, we've seen a strong volume environment, at least from our perspective.' Manufacturing PMIs had been in expansion territory for 4 consecutive months. </w:t>
      </w:r>
      <w:r>
        <w:rPr>
          <w:rFonts w:ascii="Calibri" w:hAnsi="Calibri"/>
          <w:b/>
          <w:color w:val="525866"/>
          <w:sz w:val="22"/>
        </w:rPr>
        <w:t>Implication for EXPD:</w:t>
      </w:r>
      <w:r>
        <w:rPr>
          <w:rFonts w:ascii="Calibri" w:hAnsi="Calibri"/>
          <w:color w:val="525866"/>
          <w:sz w:val="22"/>
        </w:rPr>
        <w:t xml:space="preserve"> Early April volume strength is a positive read-through for the start of EXPD's Q2 2026.</w:t>
      </w:r>
    </w:p>
    <w:p>
      <w:pPr>
        <w:pStyle w:val="ListBullet"/>
        <w:ind w:left="360" w:hanging="360"/>
      </w:pPr>
      <w:r>
        <w:rPr>
          <w:rFonts w:ascii="Calibri" w:hAnsi="Calibri"/>
          <w:b/>
          <w:color w:val="525866"/>
          <w:sz w:val="22"/>
        </w:rPr>
        <w:t>Pricing Confidence:</w:t>
      </w:r>
      <w:r>
        <w:rPr>
          <w:rFonts w:ascii="Calibri" w:hAnsi="Calibri"/>
          <w:color w:val="525866"/>
          <w:sz w:val="22"/>
        </w:rPr>
        <w:t xml:space="preserve"> FWRD CEO stated: 'Pricing, we feel really strong about... we are extremely solid in all of our revenue streams, whether it be in the global freight forwarding market and/or the ground LTL business.' Spot rates were up ~40% since late 2025. </w:t>
      </w:r>
      <w:r>
        <w:rPr>
          <w:rFonts w:ascii="Calibri" w:hAnsi="Calibri"/>
          <w:b/>
          <w:color w:val="525866"/>
          <w:sz w:val="22"/>
        </w:rPr>
        <w:t>Implication for EXPD:</w:t>
      </w:r>
      <w:r>
        <w:rPr>
          <w:rFonts w:ascii="Calibri" w:hAnsi="Calibri"/>
          <w:color w:val="525866"/>
          <w:sz w:val="22"/>
        </w:rPr>
        <w:t xml:space="preserve"> Pricing strength in the global freight forwarding market is a direct positive read-through for EXPD's air freight yields.</w:t>
      </w:r>
    </w:p>
    <w:p>
      <w:pPr>
        <w:pStyle w:val="ListBullet"/>
        <w:ind w:left="360" w:hanging="360"/>
      </w:pPr>
      <w:r>
        <w:rPr>
          <w:rFonts w:ascii="Calibri" w:hAnsi="Calibri"/>
          <w:b/>
          <w:color w:val="525866"/>
          <w:sz w:val="22"/>
        </w:rPr>
        <w:t>Ocean Container Influx:</w:t>
      </w:r>
      <w:r>
        <w:rPr>
          <w:rFonts w:ascii="Calibri" w:hAnsi="Calibri"/>
          <w:color w:val="525866"/>
          <w:sz w:val="22"/>
        </w:rPr>
        <w:t xml:space="preserve"> FWRD CEO noted 'slowly an influx of the ocean containers coming back in.' </w:t>
      </w:r>
      <w:r>
        <w:rPr>
          <w:rFonts w:ascii="Calibri" w:hAnsi="Calibri"/>
          <w:b/>
          <w:color w:val="525866"/>
          <w:sz w:val="22"/>
        </w:rPr>
        <w:t>Implication for EXPD:</w:t>
      </w:r>
      <w:r>
        <w:rPr>
          <w:rFonts w:ascii="Calibri" w:hAnsi="Calibri"/>
          <w:color w:val="525866"/>
          <w:sz w:val="22"/>
        </w:rPr>
        <w:t xml:space="preserve"> A tentative positive signal for EXPD's ocean forwarding volumes, though management's own guidance suggests ocean remains challenged by overcapacity.</w:t>
      </w:r>
    </w:p>
    <w:p>
      <w:pPr>
        <w:pStyle w:val="ListBullet"/>
        <w:ind w:left="360" w:hanging="360"/>
      </w:pPr>
      <w:r>
        <w:rPr>
          <w:rFonts w:ascii="Calibri" w:hAnsi="Calibri"/>
          <w:b/>
          <w:color w:val="525866"/>
          <w:sz w:val="22"/>
        </w:rPr>
        <w:t>Limitation:</w:t>
      </w:r>
      <w:r>
        <w:rPr>
          <w:rFonts w:ascii="Calibri" w:hAnsi="Calibri"/>
          <w:color w:val="525866"/>
          <w:sz w:val="22"/>
        </w:rPr>
        <w:t xml:space="preserve"> FWRD's Omni Logistics segment saw air and ocean volumes decrease in Q1 2026, with margin improvement driven by contract logistics (not forwarding). FWRD's overall commentary is heavily influenced by its domestic LTL business, which is not directly applicable to EXPD.</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Relevance to EXPD</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UPS</w:t>
            </w:r>
          </w:p>
        </w:tc>
        <w:tc>
          <w:tcPr>
            <w:tcW w:type="dxa" w:w="1728"/>
          </w:tcPr>
          <w:p>
            <w:r>
              <w:rPr>
                <w:rFonts w:ascii="Calibri" w:hAnsi="Calibri"/>
                <w:sz w:val="22"/>
              </w:rPr>
              <w:t>Jul 28, 2026</w:t>
            </w:r>
          </w:p>
        </w:tc>
        <w:tc>
          <w:tcPr>
            <w:tcW w:type="dxa" w:w="1728"/>
          </w:tcPr>
          <w:p>
            <w:r>
              <w:rPr>
                <w:rFonts w:ascii="Calibri" w:hAnsi="Calibri"/>
                <w:sz w:val="22"/>
              </w:rPr>
              <w:t>Forwarding revenue +8.1% YoY; higher intl air freight rates; China-U.S. lane returned to growth in May</w:t>
            </w:r>
          </w:p>
        </w:tc>
        <w:tc>
          <w:tcPr>
            <w:tcW w:type="dxa" w:w="1728"/>
          </w:tcPr>
          <w:p>
            <w:r>
              <w:rPr>
                <w:rFonts w:ascii="Calibri" w:hAnsi="Calibri"/>
                <w:sz w:val="22"/>
              </w:rPr>
              <w:t>HIGH — Direct forwarding read-through</w:t>
            </w:r>
          </w:p>
        </w:tc>
        <w:tc>
          <w:tcPr>
            <w:tcW w:type="dxa" w:w="1728"/>
          </w:tcPr>
          <w:p>
            <w:r>
              <w:rPr>
                <w:rFonts w:ascii="Calibri" w:hAnsi="Calibri"/>
                <w:b/>
                <w:color w:val="30A46C"/>
                <w:sz w:val="22"/>
              </w:rPr>
              <w:t>Positive</w:t>
            </w:r>
          </w:p>
        </w:tc>
      </w:tr>
      <w:tr>
        <w:tc>
          <w:tcPr>
            <w:tcW w:type="dxa" w:w="1728"/>
          </w:tcPr>
          <w:p>
            <w:r>
              <w:rPr>
                <w:rFonts w:ascii="Calibri" w:hAnsi="Calibri"/>
                <w:sz w:val="22"/>
              </w:rPr>
              <w:t>CHRW</w:t>
            </w:r>
          </w:p>
        </w:tc>
        <w:tc>
          <w:tcPr>
            <w:tcW w:type="dxa" w:w="1728"/>
          </w:tcPr>
          <w:p>
            <w:r>
              <w:rPr>
                <w:rFonts w:ascii="Calibri" w:hAnsi="Calibri"/>
                <w:sz w:val="22"/>
              </w:rPr>
              <w:t>Jul 29, 2026</w:t>
            </w:r>
          </w:p>
        </w:tc>
        <w:tc>
          <w:tcPr>
            <w:tcW w:type="dxa" w:w="1728"/>
          </w:tcPr>
          <w:p>
            <w:r>
              <w:rPr>
                <w:rFonts w:ascii="Calibri" w:hAnsi="Calibri"/>
                <w:sz w:val="22"/>
              </w:rPr>
              <w:t>Global forwarding margin 33.4%; AGP +6.5% YoY; 'trough' demand but rate-driven revenue growth</w:t>
            </w:r>
          </w:p>
        </w:tc>
        <w:tc>
          <w:tcPr>
            <w:tcW w:type="dxa" w:w="1728"/>
          </w:tcPr>
          <w:p>
            <w:r>
              <w:rPr>
                <w:rFonts w:ascii="Calibri" w:hAnsi="Calibri"/>
                <w:sz w:val="22"/>
              </w:rPr>
              <w:t>HIGH — Direct global forwarding peer</w:t>
            </w:r>
          </w:p>
        </w:tc>
        <w:tc>
          <w:tcPr>
            <w:tcW w:type="dxa" w:w="1728"/>
          </w:tcPr>
          <w:p>
            <w:r>
              <w:rPr>
                <w:rFonts w:ascii="Calibri" w:hAnsi="Calibri"/>
                <w:b/>
                <w:color w:val="002FA7"/>
                <w:sz w:val="22"/>
              </w:rPr>
              <w:t>Mixed</w:t>
            </w:r>
          </w:p>
        </w:tc>
      </w:tr>
      <w:tr>
        <w:tc>
          <w:tcPr>
            <w:tcW w:type="dxa" w:w="1728"/>
          </w:tcPr>
          <w:p>
            <w:r>
              <w:rPr>
                <w:rFonts w:ascii="Calibri" w:hAnsi="Calibri"/>
                <w:sz w:val="22"/>
              </w:rPr>
              <w:t>FDX</w:t>
            </w:r>
          </w:p>
        </w:tc>
        <w:tc>
          <w:tcPr>
            <w:tcW w:type="dxa" w:w="1728"/>
          </w:tcPr>
          <w:p>
            <w:r>
              <w:rPr>
                <w:rFonts w:ascii="Calibri" w:hAnsi="Calibri"/>
                <w:sz w:val="22"/>
              </w:rPr>
              <w:t>Jun 23, 2026</w:t>
            </w:r>
          </w:p>
        </w:tc>
        <w:tc>
          <w:tcPr>
            <w:tcW w:type="dxa" w:w="1728"/>
          </w:tcPr>
          <w:p>
            <w:r>
              <w:rPr>
                <w:rFonts w:ascii="Calibri" w:hAnsi="Calibri"/>
                <w:sz w:val="22"/>
              </w:rPr>
              <w:t>Intl air freight avg daily pounds +12% YoY; June 2026 expected 'very strong'; APAC momentum</w:t>
            </w:r>
          </w:p>
        </w:tc>
        <w:tc>
          <w:tcPr>
            <w:tcW w:type="dxa" w:w="1728"/>
          </w:tcPr>
          <w:p>
            <w:r>
              <w:rPr>
                <w:rFonts w:ascii="Calibri" w:hAnsi="Calibri"/>
                <w:sz w:val="22"/>
              </w:rPr>
              <w:t>HIGH — Direct intl air freight read-through</w:t>
            </w:r>
          </w:p>
        </w:tc>
        <w:tc>
          <w:tcPr>
            <w:tcW w:type="dxa" w:w="1728"/>
          </w:tcPr>
          <w:p>
            <w:r>
              <w:rPr>
                <w:rFonts w:ascii="Calibri" w:hAnsi="Calibri"/>
                <w:b/>
                <w:color w:val="30A46C"/>
                <w:sz w:val="22"/>
              </w:rPr>
              <w:t>Positive</w:t>
            </w:r>
          </w:p>
        </w:tc>
      </w:tr>
      <w:tr>
        <w:tc>
          <w:tcPr>
            <w:tcW w:type="dxa" w:w="1728"/>
          </w:tcPr>
          <w:p>
            <w:r>
              <w:rPr>
                <w:rFonts w:ascii="Calibri" w:hAnsi="Calibri"/>
                <w:sz w:val="22"/>
              </w:rPr>
              <w:t>LSTR</w:t>
            </w:r>
          </w:p>
        </w:tc>
        <w:tc>
          <w:tcPr>
            <w:tcW w:type="dxa" w:w="1728"/>
          </w:tcPr>
          <w:p>
            <w:r>
              <w:rPr>
                <w:rFonts w:ascii="Calibri" w:hAnsi="Calibri"/>
                <w:sz w:val="22"/>
              </w:rPr>
              <w:t>Jul 28, 2026</w:t>
            </w:r>
          </w:p>
        </w:tc>
        <w:tc>
          <w:tcPr>
            <w:tcW w:type="dxa" w:w="1728"/>
          </w:tcPr>
          <w:p>
            <w:r>
              <w:rPr>
                <w:rFonts w:ascii="Calibri" w:hAnsi="Calibri"/>
                <w:sz w:val="22"/>
              </w:rPr>
              <w:t>Truck revenue/load +17% YoY; largest sequential rate increase in 15 years; demand outpacing seasonality</w:t>
            </w:r>
          </w:p>
        </w:tc>
        <w:tc>
          <w:tcPr>
            <w:tcW w:type="dxa" w:w="1728"/>
          </w:tcPr>
          <w:p>
            <w:r>
              <w:rPr>
                <w:rFonts w:ascii="Calibri" w:hAnsi="Calibri"/>
                <w:sz w:val="22"/>
              </w:rPr>
              <w:t>MODERATE — Domestic trucking; indirect macro signal</w:t>
            </w:r>
          </w:p>
        </w:tc>
        <w:tc>
          <w:tcPr>
            <w:tcW w:type="dxa" w:w="1728"/>
          </w:tcPr>
          <w:p>
            <w:r>
              <w:rPr>
                <w:rFonts w:ascii="Calibri" w:hAnsi="Calibri"/>
                <w:b/>
                <w:color w:val="002FA7"/>
                <w:sz w:val="22"/>
              </w:rPr>
              <w:t>Mixed</w:t>
            </w:r>
          </w:p>
        </w:tc>
      </w:tr>
      <w:tr>
        <w:tc>
          <w:tcPr>
            <w:tcW w:type="dxa" w:w="1728"/>
          </w:tcPr>
          <w:p>
            <w:r>
              <w:rPr>
                <w:rFonts w:ascii="Calibri" w:hAnsi="Calibri"/>
                <w:sz w:val="22"/>
              </w:rPr>
              <w:t>JBHT</w:t>
            </w:r>
          </w:p>
        </w:tc>
        <w:tc>
          <w:tcPr>
            <w:tcW w:type="dxa" w:w="1728"/>
          </w:tcPr>
          <w:p>
            <w:r>
              <w:rPr>
                <w:rFonts w:ascii="Calibri" w:hAnsi="Calibri"/>
                <w:sz w:val="22"/>
              </w:rPr>
              <w:t>Jul 15, 2026</w:t>
            </w:r>
          </w:p>
        </w:tc>
        <w:tc>
          <w:tcPr>
            <w:tcW w:type="dxa" w:w="1728"/>
          </w:tcPr>
          <w:p>
            <w:r>
              <w:rPr>
                <w:rFonts w:ascii="Calibri" w:hAnsi="Calibri"/>
                <w:sz w:val="22"/>
              </w:rPr>
              <w:t>Spot rates +34% YoY; intermodal volume record; capacity tightest since 2021-2022</w:t>
            </w:r>
          </w:p>
        </w:tc>
        <w:tc>
          <w:tcPr>
            <w:tcW w:type="dxa" w:w="1728"/>
          </w:tcPr>
          <w:p>
            <w:r>
              <w:rPr>
                <w:rFonts w:ascii="Calibri" w:hAnsi="Calibri"/>
                <w:sz w:val="22"/>
              </w:rPr>
              <w:t>MODERATE — Domestic intermodal; indirect macro signal</w:t>
            </w:r>
          </w:p>
        </w:tc>
        <w:tc>
          <w:tcPr>
            <w:tcW w:type="dxa" w:w="1728"/>
          </w:tcPr>
          <w:p>
            <w:r>
              <w:rPr>
                <w:rFonts w:ascii="Calibri" w:hAnsi="Calibri"/>
                <w:b/>
                <w:color w:val="002FA7"/>
                <w:sz w:val="22"/>
              </w:rPr>
              <w:t>Mixed</w:t>
            </w:r>
          </w:p>
        </w:tc>
      </w:tr>
      <w:tr>
        <w:tc>
          <w:tcPr>
            <w:tcW w:type="dxa" w:w="1728"/>
          </w:tcPr>
          <w:p>
            <w:r>
              <w:rPr>
                <w:rFonts w:ascii="Calibri" w:hAnsi="Calibri"/>
                <w:sz w:val="22"/>
              </w:rPr>
              <w:t>GXO</w:t>
            </w:r>
          </w:p>
        </w:tc>
        <w:tc>
          <w:tcPr>
            <w:tcW w:type="dxa" w:w="1728"/>
          </w:tcPr>
          <w:p>
            <w:r>
              <w:rPr>
                <w:rFonts w:ascii="Calibri" w:hAnsi="Calibri"/>
                <w:sz w:val="22"/>
              </w:rPr>
              <w:t>May 6, 2026</w:t>
            </w:r>
          </w:p>
        </w:tc>
        <w:tc>
          <w:tcPr>
            <w:tcW w:type="dxa" w:w="1728"/>
          </w:tcPr>
          <w:p>
            <w:r>
              <w:rPr>
                <w:rFonts w:ascii="Calibri" w:hAnsi="Calibri"/>
                <w:sz w:val="22"/>
              </w:rPr>
              <w:t>Demand accelerating; pipeline at all-time high; Q2 organic growth ~4%; trade lane shifts</w:t>
            </w:r>
          </w:p>
        </w:tc>
        <w:tc>
          <w:tcPr>
            <w:tcW w:type="dxa" w:w="1728"/>
          </w:tcPr>
          <w:p>
            <w:r>
              <w:rPr>
                <w:rFonts w:ascii="Calibri" w:hAnsi="Calibri"/>
                <w:sz w:val="22"/>
              </w:rPr>
              <w:t>LOW-MOD — Contract logistics; indirect signal</w:t>
            </w:r>
          </w:p>
        </w:tc>
        <w:tc>
          <w:tcPr>
            <w:tcW w:type="dxa" w:w="1728"/>
          </w:tcPr>
          <w:p>
            <w:r>
              <w:rPr>
                <w:rFonts w:ascii="Calibri" w:hAnsi="Calibri"/>
                <w:b/>
                <w:color w:val="30A46C"/>
                <w:sz w:val="22"/>
              </w:rPr>
              <w:t>Positive</w:t>
            </w:r>
          </w:p>
        </w:tc>
      </w:tr>
      <w:tr>
        <w:tc>
          <w:tcPr>
            <w:tcW w:type="dxa" w:w="1728"/>
          </w:tcPr>
          <w:p>
            <w:r>
              <w:rPr>
                <w:rFonts w:ascii="Calibri" w:hAnsi="Calibri"/>
                <w:sz w:val="22"/>
              </w:rPr>
              <w:t>FWRD</w:t>
            </w:r>
          </w:p>
        </w:tc>
        <w:tc>
          <w:tcPr>
            <w:tcW w:type="dxa" w:w="1728"/>
          </w:tcPr>
          <w:p>
            <w:r>
              <w:rPr>
                <w:rFonts w:ascii="Calibri" w:hAnsi="Calibri"/>
                <w:sz w:val="22"/>
              </w:rPr>
              <w:t>May 7, 2026</w:t>
            </w:r>
          </w:p>
        </w:tc>
        <w:tc>
          <w:tcPr>
            <w:tcW w:type="dxa" w:w="1728"/>
          </w:tcPr>
          <w:p>
            <w:r>
              <w:rPr>
                <w:rFonts w:ascii="Calibri" w:hAnsi="Calibri"/>
                <w:sz w:val="22"/>
              </w:rPr>
              <w:t>Freight recession persists; early April volume strength; pricing 'very strong' in global forwarding</w:t>
            </w:r>
          </w:p>
        </w:tc>
        <w:tc>
          <w:tcPr>
            <w:tcW w:type="dxa" w:w="1728"/>
          </w:tcPr>
          <w:p>
            <w:r>
              <w:rPr>
                <w:rFonts w:ascii="Calibri" w:hAnsi="Calibri"/>
                <w:sz w:val="22"/>
              </w:rPr>
              <w:t>MODERATE — Omni Logistics is direct air/ocean peer</w:t>
            </w:r>
          </w:p>
        </w:tc>
        <w:tc>
          <w:tcPr>
            <w:tcW w:type="dxa" w:w="1728"/>
          </w:tcPr>
          <w:p>
            <w:r>
              <w:rPr>
                <w:rFonts w:ascii="Calibri" w:hAnsi="Calibri"/>
                <w:b/>
                <w:color w:val="002FA7"/>
                <w:sz w:val="22"/>
              </w:rPr>
              <w:t>Mixed</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purchases or discretionary sales (Form 4 codes P or S) were filed by EXPD insiders since the Q1 2026 earnings date (May 5, 2026). All insider activity in the period consists of routine equity compensation events — RSU vesting, dividend equivalent rights accruals, and tax withholding shares — which are non-discretionary and carry no informational signal about management's view of the stock.</w:t>
      </w:r>
    </w:p>
    <w:p>
      <w:r>
        <w:rPr>
          <w:rFonts w:ascii="Calibri" w:hAnsi="Calibri"/>
          <w:b/>
          <w:color w:val="525866"/>
          <w:sz w:val="22"/>
        </w:rPr>
        <w:t>Insider Activity Since May 5, 2026 (Form 4 Filings):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Name</w:t>
            </w:r>
          </w:p>
        </w:tc>
        <w:tc>
          <w:tcPr>
            <w:tcW w:type="dxa" w:w="1728"/>
            <w:shd w:val="clear" w:color="auto" w:fill="3B4259"/>
          </w:tcPr>
          <w:p>
            <w:r>
              <w:rPr>
                <w:rFonts w:ascii="Calibri" w:hAnsi="Calibri"/>
                <w:b/>
                <w:color w:val="FFFFFF"/>
                <w:sz w:val="22"/>
              </w:rPr>
              <w:t>Title</w:t>
            </w:r>
          </w:p>
        </w:tc>
        <w:tc>
          <w:tcPr>
            <w:tcW w:type="dxa" w:w="1728"/>
            <w:shd w:val="clear" w:color="auto" w:fill="3B4259"/>
          </w:tcPr>
          <w:p>
            <w:r>
              <w:rPr>
                <w:rFonts w:ascii="Calibri" w:hAnsi="Calibri"/>
                <w:b/>
                <w:color w:val="FFFFFF"/>
                <w:sz w:val="22"/>
              </w:rPr>
              <w:t>Transaction Type</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Daniel R. Wall</w:t>
            </w:r>
          </w:p>
        </w:tc>
        <w:tc>
          <w:tcPr>
            <w:tcW w:type="dxa" w:w="1728"/>
          </w:tcPr>
          <w:p>
            <w:r>
              <w:rPr>
                <w:rFonts w:ascii="Calibri" w:hAnsi="Calibri"/>
                <w:sz w:val="22"/>
              </w:rPr>
              <w:t>President &amp; CEO</w:t>
            </w:r>
          </w:p>
        </w:tc>
        <w:tc>
          <w:tcPr>
            <w:tcW w:type="dxa" w:w="1728"/>
          </w:tcPr>
          <w:p>
            <w:r>
              <w:rPr>
                <w:rFonts w:ascii="Calibri" w:hAnsi="Calibri"/>
                <w:sz w:val="22"/>
              </w:rPr>
              <w:t>RSU Vesting / Tax Withholding (Code M/F)</w:t>
            </w:r>
          </w:p>
        </w:tc>
        <w:tc>
          <w:tcPr>
            <w:tcW w:type="dxa" w:w="1728"/>
          </w:tcPr>
          <w:p>
            <w:r>
              <w:rPr>
                <w:rFonts w:ascii="Calibri" w:hAnsi="Calibri"/>
                <w:sz w:val="22"/>
              </w:rPr>
              <w:t>May 1, 2026</w:t>
            </w:r>
          </w:p>
        </w:tc>
        <w:tc>
          <w:tcPr>
            <w:tcW w:type="dxa" w:w="1728"/>
          </w:tcPr>
          <w:p>
            <w:r>
              <w:rPr>
                <w:rFonts w:ascii="Calibri" w:hAnsi="Calibri"/>
                <w:sz w:val="22"/>
              </w:rPr>
              <w:t>Non-discretionary; routine RSU vesting with tax withholding shares. No open-market sale.</w:t>
            </w:r>
          </w:p>
        </w:tc>
      </w:tr>
      <w:tr>
        <w:tc>
          <w:tcPr>
            <w:tcW w:type="dxa" w:w="1728"/>
          </w:tcPr>
          <w:p>
            <w:r>
              <w:rPr>
                <w:rFonts w:ascii="Calibri" w:hAnsi="Calibri"/>
                <w:sz w:val="22"/>
              </w:rPr>
              <w:t>David A. Hackett</w:t>
            </w:r>
          </w:p>
        </w:tc>
        <w:tc>
          <w:tcPr>
            <w:tcW w:type="dxa" w:w="1728"/>
          </w:tcPr>
          <w:p>
            <w:r>
              <w:rPr>
                <w:rFonts w:ascii="Calibri" w:hAnsi="Calibri"/>
                <w:sz w:val="22"/>
              </w:rPr>
              <w:t>SVP &amp; CFO</w:t>
            </w:r>
          </w:p>
        </w:tc>
        <w:tc>
          <w:tcPr>
            <w:tcW w:type="dxa" w:w="1728"/>
          </w:tcPr>
          <w:p>
            <w:r>
              <w:rPr>
                <w:rFonts w:ascii="Calibri" w:hAnsi="Calibri"/>
                <w:sz w:val="22"/>
              </w:rPr>
              <w:t>RSU Vesting / Dividend Equivalent Rights (Code A/M)</w:t>
            </w:r>
          </w:p>
        </w:tc>
        <w:tc>
          <w:tcPr>
            <w:tcW w:type="dxa" w:w="1728"/>
          </w:tcPr>
          <w:p>
            <w:r>
              <w:rPr>
                <w:rFonts w:ascii="Calibri" w:hAnsi="Calibri"/>
                <w:sz w:val="22"/>
              </w:rPr>
              <w:t>May 1–Jun 15, 2026</w:t>
            </w:r>
          </w:p>
        </w:tc>
        <w:tc>
          <w:tcPr>
            <w:tcW w:type="dxa" w:w="1728"/>
          </w:tcPr>
          <w:p>
            <w:r>
              <w:rPr>
                <w:rFonts w:ascii="Calibri" w:hAnsi="Calibri"/>
                <w:sz w:val="22"/>
              </w:rPr>
              <w:t>Non-discretionary; routine equity compensation events. No open-market activity.</w:t>
            </w:r>
          </w:p>
        </w:tc>
      </w:tr>
      <w:tr>
        <w:tc>
          <w:tcPr>
            <w:tcW w:type="dxa" w:w="1728"/>
          </w:tcPr>
          <w:p>
            <w:r>
              <w:rPr>
                <w:rFonts w:ascii="Calibri" w:hAnsi="Calibri"/>
                <w:sz w:val="22"/>
              </w:rPr>
              <w:t>Blake R. Bell</w:t>
            </w:r>
          </w:p>
        </w:tc>
        <w:tc>
          <w:tcPr>
            <w:tcW w:type="dxa" w:w="1728"/>
          </w:tcPr>
          <w:p>
            <w:r>
              <w:rPr>
                <w:rFonts w:ascii="Calibri" w:hAnsi="Calibri"/>
                <w:sz w:val="22"/>
              </w:rPr>
              <w:t>President, Global Business Dev.</w:t>
            </w:r>
          </w:p>
        </w:tc>
        <w:tc>
          <w:tcPr>
            <w:tcW w:type="dxa" w:w="1728"/>
          </w:tcPr>
          <w:p>
            <w:r>
              <w:rPr>
                <w:rFonts w:ascii="Calibri" w:hAnsi="Calibri"/>
                <w:sz w:val="22"/>
              </w:rPr>
              <w:t>Dividend Equivalent Rights Accrual (Code A)</w:t>
            </w:r>
          </w:p>
        </w:tc>
        <w:tc>
          <w:tcPr>
            <w:tcW w:type="dxa" w:w="1728"/>
          </w:tcPr>
          <w:p>
            <w:r>
              <w:rPr>
                <w:rFonts w:ascii="Calibri" w:hAnsi="Calibri"/>
                <w:sz w:val="22"/>
              </w:rPr>
              <w:t>Jun 15, 2026</w:t>
            </w:r>
          </w:p>
        </w:tc>
        <w:tc>
          <w:tcPr>
            <w:tcW w:type="dxa" w:w="1728"/>
          </w:tcPr>
          <w:p>
            <w:r>
              <w:rPr>
                <w:rFonts w:ascii="Calibri" w:hAnsi="Calibri"/>
                <w:sz w:val="22"/>
              </w:rPr>
              <w:t>Non-discretionary; dividend equivalent rights on 2024/2025/2026 RSUs. No open-market activity.</w:t>
            </w:r>
          </w:p>
        </w:tc>
      </w:tr>
      <w:tr>
        <w:tc>
          <w:tcPr>
            <w:tcW w:type="dxa" w:w="1728"/>
          </w:tcPr>
          <w:p>
            <w:r>
              <w:rPr>
                <w:rFonts w:ascii="Calibri" w:hAnsi="Calibri"/>
                <w:sz w:val="22"/>
              </w:rPr>
              <w:t>Kelly K. Blacker</w:t>
            </w:r>
          </w:p>
        </w:tc>
        <w:tc>
          <w:tcPr>
            <w:tcW w:type="dxa" w:w="1728"/>
          </w:tcPr>
          <w:p>
            <w:r>
              <w:rPr>
                <w:rFonts w:ascii="Calibri" w:hAnsi="Calibri"/>
                <w:sz w:val="22"/>
              </w:rPr>
              <w:t>President, Global Geographies</w:t>
            </w:r>
          </w:p>
        </w:tc>
        <w:tc>
          <w:tcPr>
            <w:tcW w:type="dxa" w:w="1728"/>
          </w:tcPr>
          <w:p>
            <w:r>
              <w:rPr>
                <w:rFonts w:ascii="Calibri" w:hAnsi="Calibri"/>
                <w:sz w:val="22"/>
              </w:rPr>
              <w:t>Dividend Equivalent Rights Accrual (Code A)</w:t>
            </w:r>
          </w:p>
        </w:tc>
        <w:tc>
          <w:tcPr>
            <w:tcW w:type="dxa" w:w="1728"/>
          </w:tcPr>
          <w:p>
            <w:r>
              <w:rPr>
                <w:rFonts w:ascii="Calibri" w:hAnsi="Calibri"/>
                <w:sz w:val="22"/>
              </w:rPr>
              <w:t>Jun 15, 2026</w:t>
            </w:r>
          </w:p>
        </w:tc>
        <w:tc>
          <w:tcPr>
            <w:tcW w:type="dxa" w:w="1728"/>
          </w:tcPr>
          <w:p>
            <w:r>
              <w:rPr>
                <w:rFonts w:ascii="Calibri" w:hAnsi="Calibri"/>
                <w:sz w:val="22"/>
              </w:rPr>
              <w:t>Non-discretionary; dividend equivalent rights on 2024/2026 RSUs. No open-market activity.</w:t>
            </w:r>
          </w:p>
        </w:tc>
      </w:tr>
      <w:tr>
        <w:tc>
          <w:tcPr>
            <w:tcW w:type="dxa" w:w="1728"/>
          </w:tcPr>
          <w:p>
            <w:r>
              <w:rPr>
                <w:rFonts w:ascii="Calibri" w:hAnsi="Calibri"/>
                <w:sz w:val="22"/>
              </w:rPr>
              <w:t>Jeffrey F. Dickerman</w:t>
            </w:r>
          </w:p>
        </w:tc>
        <w:tc>
          <w:tcPr>
            <w:tcW w:type="dxa" w:w="1728"/>
          </w:tcPr>
          <w:p>
            <w:r>
              <w:rPr>
                <w:rFonts w:ascii="Calibri" w:hAnsi="Calibri"/>
                <w:sz w:val="22"/>
              </w:rPr>
              <w:t>SVP</w:t>
            </w:r>
          </w:p>
        </w:tc>
        <w:tc>
          <w:tcPr>
            <w:tcW w:type="dxa" w:w="1728"/>
          </w:tcPr>
          <w:p>
            <w:r>
              <w:rPr>
                <w:rFonts w:ascii="Calibri" w:hAnsi="Calibri"/>
                <w:sz w:val="22"/>
              </w:rPr>
              <w:t>Dividend Equivalent Rights Accrual (Code A)</w:t>
            </w:r>
          </w:p>
        </w:tc>
        <w:tc>
          <w:tcPr>
            <w:tcW w:type="dxa" w:w="1728"/>
          </w:tcPr>
          <w:p>
            <w:r>
              <w:rPr>
                <w:rFonts w:ascii="Calibri" w:hAnsi="Calibri"/>
                <w:sz w:val="22"/>
              </w:rPr>
              <w:t>Jun 15, 2026</w:t>
            </w:r>
          </w:p>
        </w:tc>
        <w:tc>
          <w:tcPr>
            <w:tcW w:type="dxa" w:w="1728"/>
          </w:tcPr>
          <w:p>
            <w:r>
              <w:rPr>
                <w:rFonts w:ascii="Calibri" w:hAnsi="Calibri"/>
                <w:sz w:val="22"/>
              </w:rPr>
              <w:t>Non-discretionary; dividend equivalent rights on RSUs. No open-market activity.</w:t>
            </w:r>
          </w:p>
        </w:tc>
      </w:tr>
      <w:tr>
        <w:tc>
          <w:tcPr>
            <w:tcW w:type="dxa" w:w="1728"/>
          </w:tcPr>
          <w:p>
            <w:r>
              <w:rPr>
                <w:rFonts w:ascii="Calibri" w:hAnsi="Calibri"/>
                <w:sz w:val="22"/>
              </w:rPr>
              <w:t>Roberto A. Martinez</w:t>
            </w:r>
          </w:p>
        </w:tc>
        <w:tc>
          <w:tcPr>
            <w:tcW w:type="dxa" w:w="1728"/>
          </w:tcPr>
          <w:p>
            <w:r>
              <w:rPr>
                <w:rFonts w:ascii="Calibri" w:hAnsi="Calibri"/>
                <w:sz w:val="22"/>
              </w:rPr>
              <w:t>SVP</w:t>
            </w:r>
          </w:p>
        </w:tc>
        <w:tc>
          <w:tcPr>
            <w:tcW w:type="dxa" w:w="1728"/>
          </w:tcPr>
          <w:p>
            <w:r>
              <w:rPr>
                <w:rFonts w:ascii="Calibri" w:hAnsi="Calibri"/>
                <w:sz w:val="22"/>
              </w:rPr>
              <w:t>Dividend Equivalent Rights Accrual (Code A)</w:t>
            </w:r>
          </w:p>
        </w:tc>
        <w:tc>
          <w:tcPr>
            <w:tcW w:type="dxa" w:w="1728"/>
          </w:tcPr>
          <w:p>
            <w:r>
              <w:rPr>
                <w:rFonts w:ascii="Calibri" w:hAnsi="Calibri"/>
                <w:sz w:val="22"/>
              </w:rPr>
              <w:t>Jun 15, 2026</w:t>
            </w:r>
          </w:p>
        </w:tc>
        <w:tc>
          <w:tcPr>
            <w:tcW w:type="dxa" w:w="1728"/>
          </w:tcPr>
          <w:p>
            <w:r>
              <w:rPr>
                <w:rFonts w:ascii="Calibri" w:hAnsi="Calibri"/>
                <w:sz w:val="22"/>
              </w:rPr>
              <w:t>Non-discretionary; dividend equivalent rights on RSUs. No open-market activity.</w:t>
            </w:r>
          </w:p>
        </w:tc>
      </w:tr>
      <w:tr>
        <w:tc>
          <w:tcPr>
            <w:tcW w:type="dxa" w:w="1728"/>
          </w:tcPr>
          <w:p>
            <w:r>
              <w:rPr>
                <w:rFonts w:ascii="Calibri" w:hAnsi="Calibri"/>
                <w:sz w:val="22"/>
              </w:rPr>
              <w:t>Gabe O. Schoonover</w:t>
            </w:r>
          </w:p>
        </w:tc>
        <w:tc>
          <w:tcPr>
            <w:tcW w:type="dxa" w:w="1728"/>
          </w:tcPr>
          <w:p>
            <w:r>
              <w:rPr>
                <w:rFonts w:ascii="Calibri" w:hAnsi="Calibri"/>
                <w:sz w:val="22"/>
              </w:rPr>
              <w:t>SVP</w:t>
            </w:r>
          </w:p>
        </w:tc>
        <w:tc>
          <w:tcPr>
            <w:tcW w:type="dxa" w:w="1728"/>
          </w:tcPr>
          <w:p>
            <w:r>
              <w:rPr>
                <w:rFonts w:ascii="Calibri" w:hAnsi="Calibri"/>
                <w:sz w:val="22"/>
              </w:rPr>
              <w:t>Dividend Equivalent Rights Accrual (Code A)</w:t>
            </w:r>
          </w:p>
        </w:tc>
        <w:tc>
          <w:tcPr>
            <w:tcW w:type="dxa" w:w="1728"/>
          </w:tcPr>
          <w:p>
            <w:r>
              <w:rPr>
                <w:rFonts w:ascii="Calibri" w:hAnsi="Calibri"/>
                <w:sz w:val="22"/>
              </w:rPr>
              <w:t>Jun 15, 2026</w:t>
            </w:r>
          </w:p>
        </w:tc>
        <w:tc>
          <w:tcPr>
            <w:tcW w:type="dxa" w:w="1728"/>
          </w:tcPr>
          <w:p>
            <w:r>
              <w:rPr>
                <w:rFonts w:ascii="Calibri" w:hAnsi="Calibri"/>
                <w:sz w:val="22"/>
              </w:rPr>
              <w:t>Non-discretionary; dividend equivalent rights on RSUs. No open-market activity.</w:t>
            </w:r>
          </w:p>
        </w:tc>
      </w:tr>
      <w:tr>
        <w:tc>
          <w:tcPr>
            <w:tcW w:type="dxa" w:w="1728"/>
          </w:tcPr>
          <w:p>
            <w:r>
              <w:rPr>
                <w:rFonts w:ascii="Calibri" w:hAnsi="Calibri"/>
                <w:sz w:val="22"/>
              </w:rPr>
              <w:t>Multiple Directors (Alger, Carlile, DuBois, Emmert, Gulyas, Pedersen, Pelletier, Polius)</w:t>
            </w:r>
          </w:p>
        </w:tc>
        <w:tc>
          <w:tcPr>
            <w:tcW w:type="dxa" w:w="1728"/>
          </w:tcPr>
          <w:p>
            <w:r>
              <w:rPr>
                <w:rFonts w:ascii="Calibri" w:hAnsi="Calibri"/>
                <w:sz w:val="22"/>
              </w:rPr>
              <w:t>Board Directors</w:t>
            </w:r>
          </w:p>
        </w:tc>
        <w:tc>
          <w:tcPr>
            <w:tcW w:type="dxa" w:w="1728"/>
          </w:tcPr>
          <w:p>
            <w:r>
              <w:rPr>
                <w:rFonts w:ascii="Calibri" w:hAnsi="Calibri"/>
                <w:sz w:val="22"/>
              </w:rPr>
              <w:t>RSU Grant / Dividend Equivalent Rights (Code A)</w:t>
            </w:r>
          </w:p>
        </w:tc>
        <w:tc>
          <w:tcPr>
            <w:tcW w:type="dxa" w:w="1728"/>
          </w:tcPr>
          <w:p>
            <w:r>
              <w:rPr>
                <w:rFonts w:ascii="Calibri" w:hAnsi="Calibri"/>
                <w:sz w:val="22"/>
              </w:rPr>
              <w:t>May 5, 2026</w:t>
            </w:r>
          </w:p>
        </w:tc>
        <w:tc>
          <w:tcPr>
            <w:tcW w:type="dxa" w:w="1728"/>
          </w:tcPr>
          <w:p>
            <w:r>
              <w:rPr>
                <w:rFonts w:ascii="Calibri" w:hAnsi="Calibri"/>
                <w:sz w:val="22"/>
              </w:rPr>
              <w:t>Non-discretionary; annual director equity grants. No open-market purchases or sales.</w:t>
            </w:r>
          </w:p>
        </w:tc>
      </w:tr>
    </w:tbl>
    <w:p>
      <w:r>
        <w:rPr>
          <w:rFonts w:ascii="Calibri" w:hAnsi="Calibri"/>
          <w:b/>
          <w:color w:val="525866"/>
          <w:sz w:val="22"/>
        </w:rPr>
        <w:t xml:space="preserve">Assessment: </w:t>
      </w:r>
      <w:r>
        <w:rPr>
          <w:rFonts w:ascii="Calibri" w:hAnsi="Calibri"/>
          <w:color w:val="525866"/>
          <w:sz w:val="22"/>
        </w:rPr>
        <w:t>The complete absence of open-market purchases or discretionary sales since the Q1 2026 earnings date is neutral — it neither signals insider confidence nor concern. All activity is routine equity compensation administration. The company's aggressive share repurchase program ($288M in Q1 2026 alone) is the more meaningful capital allocation signal, reflecting management's confidence in the stock at current levels. Source: SEC Form 4 Filings Database.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