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xpe-earnings-predictions--2026-08-05"/>
    <w:p>
      <w:pPr>
        <w:pStyle w:val="Heading1"/>
      </w:pPr>
      <w:r>
        <w:t xml:space="preserve">EXPE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Gross bookings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~$33.3B vs. cons $32.8B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~$4.21B vs. cons $4.17B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~$1.08B vs. cons $1.04B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gross bookings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~$130.0B vs. cons $129.0B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revenue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~$16.15B vs. cons $15.95B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EBITDA margin expansion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~163 bps vs. cons 140 bps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+1.5% (FADE)</w:t>
            </w:r>
          </w:p>
        </w:tc>
        <w:tc>
          <w:tcPr/>
          <w:p>
            <w:pPr>
              <w:pStyle w:val="Compact"/>
            </w:pPr>
            <w:r>
              <w:t xml:space="preserve">Day-1 residual of +3.8% fades to +1.5% by day 5: the quarter and FY26 raise clear consensus, but the elevated pre-earnings setup, second-half marketing comparisons, and higher AI investment limit out-period EBITDA revisions.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2026-08-05T00:57:23Z</dcterms:created>
  <dcterms:modified xsi:type="dcterms:W3CDTF">2026-08-05T00:57:23Z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