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6d54a80db6413991a5f57c98c985acd0239ab17"/>
    <w:p>
      <w:pPr>
        <w:pStyle w:val="Heading1"/>
      </w:pPr>
      <w:r>
        <w:t xml:space="preserve">Expedia Group (EXPE) — 2Q26 Earnings Preview</w:t>
      </w:r>
    </w:p>
    <w:p>
      <w:pPr>
        <w:pStyle w:val="BlockText"/>
      </w:pPr>
      <w:r>
        <w:rPr>
          <w:b/>
          <w:bCs/>
        </w:rPr>
        <w:t xml:space="preserve">Timing clarification:</w:t>
      </w:r>
      <w:r>
        <w:t xml:space="preserve"> </w:t>
      </w:r>
      <w:r>
        <w:t xml:space="preserve">Expedia is scheduled to report</w:t>
      </w:r>
      <w:r>
        <w:t xml:space="preserve"> </w:t>
      </w:r>
      <w:r>
        <w:rPr>
          <w:b/>
          <w:bCs/>
        </w:rPr>
        <w:t xml:space="preserve">today, Wednesday, August 5, 2026</w:t>
      </w:r>
      <w:r>
        <w:t xml:space="preserve">, after the U.S. market close, followed by its webcast at</w:t>
      </w:r>
      <w:r>
        <w:t xml:space="preserve"> </w:t>
      </w:r>
      <w:r>
        <w:rPr>
          <w:b/>
          <w:bCs/>
        </w:rPr>
        <w:t xml:space="preserve">4:30 p.m. ET</w:t>
      </w:r>
      <w:r>
        <w:t xml:space="preserve">. The August 5 date is not tomorrow.</w:t>
      </w:r>
    </w:p>
    <w:bookmarkStart w:id="9" w:name="investment-setup"/>
    <w:p>
      <w:pPr>
        <w:pStyle w:val="Heading2"/>
      </w:pPr>
      <w:r>
        <w:t xml:space="preserve">Investment setup</w:t>
      </w:r>
    </w:p>
    <w:p>
      <w:pPr>
        <w:pStyle w:val="FirstParagraph"/>
      </w:pPr>
      <w:r>
        <w:t xml:space="preserve">Expedia enters the report with strong operating momentum but a considerably higher expectations bar. First-quarter results exceeded guidance, consumer bookings accelerated to their fastest pace in years, B2B remained above 20% growth, and aggressive marketing discipline produced substantial margin expansion.</w:t>
      </w:r>
    </w:p>
    <w:p>
      <w:pPr>
        <w:pStyle w:val="BodyText"/>
      </w:pPr>
      <w:r>
        <w:t xml:space="preserve">The stock has responded: EXPE closed at</w:t>
      </w:r>
      <w:r>
        <w:t xml:space="preserve"> </w:t>
      </w:r>
      <w:r>
        <w:rPr>
          <w:b/>
          <w:bCs/>
        </w:rPr>
        <w:t xml:space="preserve">$312.10 on August 4</w:t>
      </w:r>
      <w:r>
        <w:t xml:space="preserve">, up approximately</w:t>
      </w:r>
      <w:r>
        <w:t xml:space="preserve"> </w:t>
      </w:r>
      <w:r>
        <w:rPr>
          <w:b/>
          <w:bCs/>
        </w:rPr>
        <w:t xml:space="preserve">17% over the past month</w:t>
      </w:r>
      <w:r>
        <w:t xml:space="preserve"> </w:t>
      </w:r>
      <w:r>
        <w:t xml:space="preserve">and</w:t>
      </w:r>
      <w:r>
        <w:t xml:space="preserve"> </w:t>
      </w:r>
      <w:r>
        <w:rPr>
          <w:b/>
          <w:bCs/>
        </w:rPr>
        <w:t xml:space="preserve">23% since the May 7 earnings report</w:t>
      </w:r>
      <w:r>
        <w:t xml:space="preserve">. Consequently, an in-line quarter paired with unchanged guidance may not be enough. Investors will likely want:</w:t>
      </w:r>
    </w:p>
    <w:p>
      <w:pPr>
        <w:pStyle w:val="Compact"/>
        <w:numPr>
          <w:ilvl w:val="0"/>
          <w:numId w:val="1001"/>
        </w:numPr>
      </w:pPr>
      <w:r>
        <w:t xml:space="preserve">Results at or above the upper end of the second-quarter outlook.</w:t>
      </w:r>
    </w:p>
    <w:p>
      <w:pPr>
        <w:pStyle w:val="Compact"/>
        <w:numPr>
          <w:ilvl w:val="0"/>
          <w:numId w:val="1001"/>
        </w:numPr>
      </w:pPr>
      <w:r>
        <w:t xml:space="preserve">Evidence that room-night growth remains healthy beneath favorable FX and ADR effects.</w:t>
      </w:r>
    </w:p>
    <w:p>
      <w:pPr>
        <w:pStyle w:val="Compact"/>
        <w:numPr>
          <w:ilvl w:val="0"/>
          <w:numId w:val="1001"/>
        </w:numPr>
      </w:pPr>
      <w:r>
        <w:t xml:space="preserve">Continued strong B2B growth despite tougher comparisons and geopolitical disruption.</w:t>
      </w:r>
    </w:p>
    <w:p>
      <w:pPr>
        <w:pStyle w:val="Compact"/>
        <w:numPr>
          <w:ilvl w:val="0"/>
          <w:numId w:val="1001"/>
        </w:numPr>
      </w:pPr>
      <w:r>
        <w:t xml:space="preserve">A meaningful increase to full-year guidance, especially the EBITDA-margin outlook.</w:t>
      </w:r>
    </w:p>
    <w:bookmarkEnd w:id="9"/>
    <w:bookmarkStart w:id="10" w:name="the-numbers-to-know"/>
    <w:p>
      <w:pPr>
        <w:pStyle w:val="Heading2"/>
      </w:pPr>
      <w:r>
        <w:t xml:space="preserve">The numbers to know</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company outlook / Street view</w:t>
            </w:r>
          </w:p>
        </w:tc>
        <w:tc>
          <w:tcPr/>
          <w:p>
            <w:pPr>
              <w:pStyle w:val="Compact"/>
              <w:jc w:val="right"/>
            </w:pPr>
            <w:r>
              <w:t xml:space="preserve">2Q25 result</w:t>
            </w:r>
          </w:p>
        </w:tc>
        <w:tc>
          <w:tcPr/>
          <w:p>
            <w:pPr>
              <w:pStyle w:val="Compact"/>
            </w:pPr>
            <w:r>
              <w:t xml:space="preserve">Key implication</w:t>
            </w:r>
          </w:p>
        </w:tc>
      </w:tr>
      <w:tr>
        <w:tc>
          <w:tcPr/>
          <w:p>
            <w:pPr>
              <w:pStyle w:val="Compact"/>
            </w:pPr>
            <w:r>
              <w:t xml:space="preserve">Gross bookings</w:t>
            </w:r>
          </w:p>
        </w:tc>
        <w:tc>
          <w:tcPr/>
          <w:p>
            <w:pPr>
              <w:pStyle w:val="Compact"/>
              <w:jc w:val="right"/>
            </w:pPr>
            <m:oMath>
              <m:r>
                <m:t>32.5</m:t>
              </m:r>
              <m:r>
                <m:t>B</m:t>
              </m:r>
              <m:r>
                <m:rPr>
                  <m:sty m:val="p"/>
                </m:rPr>
                <m:t>–</m:t>
              </m:r>
            </m:oMath>
            <w:r>
              <w:rPr>
                <w:b/>
                <w:bCs/>
              </w:rPr>
              <w:t xml:space="preserve">33.1B</w:t>
            </w:r>
            <w:r>
              <w:t xml:space="preserve">, up 7%–9%</w:t>
            </w:r>
          </w:p>
        </w:tc>
        <w:tc>
          <w:tcPr/>
          <w:p>
            <w:pPr>
              <w:pStyle w:val="Compact"/>
              <w:jc w:val="right"/>
            </w:pPr>
            <w:r>
              <w:t xml:space="preserve">$30.4B</w:t>
            </w:r>
          </w:p>
        </w:tc>
        <w:tc>
          <w:tcPr/>
          <w:p>
            <w:pPr>
              <w:pStyle w:val="Compact"/>
            </w:pPr>
            <w:r>
              <w:t xml:space="preserve">Company assumed roughly 0.5 point of FX benefit</w:t>
            </w:r>
          </w:p>
        </w:tc>
      </w:tr>
      <w:tr>
        <w:tc>
          <w:tcPr/>
          <w:p>
            <w:pPr>
              <w:pStyle w:val="Compact"/>
            </w:pPr>
            <w:r>
              <w:t xml:space="preserve">Revenue</w:t>
            </w:r>
          </w:p>
        </w:tc>
        <w:tc>
          <w:tcPr/>
          <w:p>
            <w:pPr>
              <w:pStyle w:val="Compact"/>
              <w:jc w:val="right"/>
            </w:pPr>
            <m:oMath>
              <m:r>
                <m:t>4.11</m:t>
              </m:r>
              <m:r>
                <m:t>B</m:t>
              </m:r>
              <m:r>
                <m:rPr>
                  <m:sty m:val="p"/>
                </m:rPr>
                <m:t>–</m:t>
              </m:r>
            </m:oMath>
            <w:r>
              <w:rPr>
                <w:b/>
                <w:bCs/>
              </w:rPr>
              <w:t xml:space="preserve">4.19B</w:t>
            </w:r>
            <w:r>
              <w:t xml:space="preserve">, up 9%–11%</w:t>
            </w:r>
          </w:p>
        </w:tc>
        <w:tc>
          <w:tcPr/>
          <w:p>
            <w:pPr>
              <w:pStyle w:val="Compact"/>
              <w:jc w:val="right"/>
            </w:pPr>
            <w:r>
              <w:t xml:space="preserve">$3.79B</w:t>
            </w:r>
          </w:p>
        </w:tc>
        <w:tc>
          <w:tcPr/>
          <w:p>
            <w:pPr>
              <w:pStyle w:val="Compact"/>
            </w:pPr>
            <w:r>
              <w:t xml:space="preserve">Street is near</w:t>
            </w:r>
            <w:r>
              <w:t xml:space="preserve"> </w:t>
            </w:r>
            <w:r>
              <w:rPr>
                <w:b/>
                <w:bCs/>
              </w:rPr>
              <w:t xml:space="preserve">$4.17B</w:t>
            </w:r>
            <w:r>
              <w:t xml:space="preserve">, toward the top of guidance</w:t>
            </w:r>
          </w:p>
        </w:tc>
      </w:tr>
      <w:tr>
        <w:tc>
          <w:tcPr/>
          <w:p>
            <w:pPr>
              <w:pStyle w:val="Compact"/>
            </w:pPr>
            <w:r>
              <w:t xml:space="preserve">Adjusted EBITDA</w:t>
            </w:r>
          </w:p>
        </w:tc>
        <w:tc>
          <w:tcPr/>
          <w:p>
            <w:pPr>
              <w:pStyle w:val="Compact"/>
              <w:jc w:val="right"/>
            </w:pPr>
            <w:r>
              <w:t xml:space="preserve">Street approximately</w:t>
            </w:r>
            <w:r>
              <w:t xml:space="preserve"> </w:t>
            </w:r>
            <w:r>
              <w:rPr>
                <w:b/>
                <w:bCs/>
              </w:rPr>
              <w:t xml:space="preserve">$1.04B</w:t>
            </w:r>
          </w:p>
        </w:tc>
        <w:tc>
          <w:tcPr/>
          <w:p>
            <w:pPr>
              <w:pStyle w:val="Compact"/>
              <w:jc w:val="right"/>
            </w:pPr>
            <w:r>
              <w:t xml:space="preserve">$908M</w:t>
            </w:r>
          </w:p>
        </w:tc>
        <w:tc>
          <w:tcPr/>
          <w:p>
            <w:pPr>
              <w:pStyle w:val="Compact"/>
            </w:pPr>
            <w:r>
              <w:t xml:space="preserve">Implies roughly 14% growth</w:t>
            </w:r>
          </w:p>
        </w:tc>
      </w:tr>
      <w:tr>
        <w:tc>
          <w:tcPr/>
          <w:p>
            <w:pPr>
              <w:pStyle w:val="Compact"/>
            </w:pPr>
            <w:r>
              <w:t xml:space="preserve">Adjusted EBITDA margin</w:t>
            </w:r>
          </w:p>
        </w:tc>
        <w:tc>
          <w:tcPr/>
          <w:p>
            <w:pPr>
              <w:pStyle w:val="Compact"/>
              <w:jc w:val="right"/>
            </w:pPr>
            <w:r>
              <w:t xml:space="preserve">Street approximately</w:t>
            </w:r>
            <w:r>
              <w:t xml:space="preserve"> </w:t>
            </w:r>
            <w:r>
              <w:rPr>
                <w:b/>
                <w:bCs/>
              </w:rPr>
              <w:t xml:space="preserve">24.9%</w:t>
            </w:r>
          </w:p>
        </w:tc>
        <w:tc>
          <w:tcPr/>
          <w:p>
            <w:pPr>
              <w:pStyle w:val="Compact"/>
              <w:jc w:val="right"/>
            </w:pPr>
            <w:r>
              <w:t xml:space="preserve">24.0%</w:t>
            </w:r>
          </w:p>
        </w:tc>
        <w:tc>
          <w:tcPr/>
          <w:p>
            <w:pPr>
              <w:pStyle w:val="Compact"/>
            </w:pPr>
            <w:r>
              <w:t xml:space="preserve">About</w:t>
            </w:r>
            <w:r>
              <w:t xml:space="preserve"> </w:t>
            </w:r>
            <w:r>
              <w:rPr>
                <w:b/>
                <w:bCs/>
              </w:rPr>
              <w:t xml:space="preserve">90 bps</w:t>
            </w:r>
            <w:r>
              <w:t xml:space="preserve"> </w:t>
            </w:r>
            <w:r>
              <w:t xml:space="preserve">of expansion, near the upper end of guidance</w:t>
            </w:r>
          </w:p>
        </w:tc>
      </w:tr>
      <w:tr>
        <w:tc>
          <w:tcPr/>
          <w:p>
            <w:pPr>
              <w:pStyle w:val="Compact"/>
            </w:pPr>
            <w:r>
              <w:t xml:space="preserve">Adjusted EPS</w:t>
            </w:r>
          </w:p>
        </w:tc>
        <w:tc>
          <w:tcPr/>
          <w:p>
            <w:pPr>
              <w:pStyle w:val="Compact"/>
              <w:jc w:val="right"/>
            </w:pPr>
            <w:r>
              <w:t xml:space="preserve">Street approximately</w:t>
            </w:r>
            <w:r>
              <w:t xml:space="preserve"> </w:t>
            </w:r>
            <w:r>
              <w:rPr>
                <w:b/>
                <w:bCs/>
              </w:rPr>
              <w:t xml:space="preserve">$5.18</w:t>
            </w:r>
          </w:p>
        </w:tc>
        <w:tc>
          <w:tcPr/>
          <w:p>
            <w:pPr>
              <w:pStyle w:val="Compact"/>
              <w:jc w:val="right"/>
            </w:pPr>
            <w:r>
              <w:t xml:space="preserve">—</w:t>
            </w:r>
          </w:p>
        </w:tc>
        <w:tc>
          <w:tcPr/>
          <w:p>
            <w:pPr>
              <w:pStyle w:val="Compact"/>
            </w:pPr>
            <w:r>
              <w:t xml:space="preserve">Buybacks should remain an important tailwind</w:t>
            </w:r>
          </w:p>
        </w:tc>
      </w:tr>
    </w:tbl>
    <w:p>
      <w:pPr>
        <w:pStyle w:val="BodyText"/>
      </w:pPr>
      <w:r>
        <w:t xml:space="preserve">The reported revenue comparison will look stronger than the underlying business because Expedia expected approximately</w:t>
      </w:r>
      <w:r>
        <w:t xml:space="preserve"> </w:t>
      </w:r>
      <w:r>
        <w:rPr>
          <w:b/>
          <w:bCs/>
        </w:rPr>
        <w:t xml:space="preserve">four percentage points of FX benefit</w:t>
      </w:r>
      <w:r>
        <w:t xml:space="preserve"> </w:t>
      </w:r>
      <w:r>
        <w:t xml:space="preserve">to revenue growth. Thus, Street revenue growth of roughly 10% translates to only about</w:t>
      </w:r>
      <w:r>
        <w:t xml:space="preserve"> </w:t>
      </w:r>
      <w:r>
        <w:rPr>
          <w:b/>
          <w:bCs/>
        </w:rPr>
        <w:t xml:space="preserve">6% on an FX-neutral basis</w:t>
      </w:r>
      <w:r>
        <w:t xml:space="preserve">.</w:t>
      </w:r>
    </w:p>
    <w:p>
      <w:pPr>
        <w:pStyle w:val="BodyText"/>
      </w:pPr>
      <w:r>
        <w:t xml:space="preserve">That makes bookings, room nights and margin quality more informative than reported revenue alone.</w:t>
      </w:r>
    </w:p>
    <w:bookmarkEnd w:id="10"/>
    <w:bookmarkStart w:id="17" w:name="what-matters-most"/>
    <w:p>
      <w:pPr>
        <w:pStyle w:val="Heading2"/>
      </w:pPr>
      <w:r>
        <w:t xml:space="preserve">What matters most</w:t>
      </w:r>
    </w:p>
    <w:bookmarkStart w:id="11" w:name="X847ecec27dc77717d9c575bc11936bc29e7fd12"/>
    <w:p>
      <w:pPr>
        <w:pStyle w:val="Heading3"/>
      </w:pPr>
      <w:r>
        <w:t xml:space="preserve">1. Room nights and the quality of booking growth</w:t>
      </w:r>
    </w:p>
    <w:p>
      <w:pPr>
        <w:pStyle w:val="FirstParagraph"/>
      </w:pPr>
      <w:r>
        <w:t xml:space="preserve">Expedia grew first-quarter room nights 6%, compared with gross bookings growth of 13%. The difference reflected higher ADRs, foreign exchange and product mix.</w:t>
      </w:r>
    </w:p>
    <w:p>
      <w:pPr>
        <w:pStyle w:val="BodyText"/>
      </w:pPr>
      <w:r>
        <w:t xml:space="preserve">For the second quarter, investors should distinguish between:</w:t>
      </w:r>
    </w:p>
    <w:p>
      <w:pPr>
        <w:pStyle w:val="Compact"/>
        <w:numPr>
          <w:ilvl w:val="0"/>
          <w:numId w:val="1002"/>
        </w:numPr>
      </w:pPr>
      <w:r>
        <w:rPr>
          <w:b/>
          <w:bCs/>
        </w:rPr>
        <w:t xml:space="preserve">Volume-led growth:</w:t>
      </w:r>
      <w:r>
        <w:t xml:space="preserve"> </w:t>
      </w:r>
      <w:r>
        <w:t xml:space="preserve">healthy room-night and ticket growth;</w:t>
      </w:r>
    </w:p>
    <w:p>
      <w:pPr>
        <w:pStyle w:val="Compact"/>
        <w:numPr>
          <w:ilvl w:val="0"/>
          <w:numId w:val="1002"/>
        </w:numPr>
      </w:pPr>
      <w:r>
        <w:rPr>
          <w:b/>
          <w:bCs/>
        </w:rPr>
        <w:t xml:space="preserve">Price-led growth:</w:t>
      </w:r>
      <w:r>
        <w:t xml:space="preserve"> </w:t>
      </w:r>
      <w:r>
        <w:t xml:space="preserve">higher ADRs or airfares inflating gross bookings;</w:t>
      </w:r>
    </w:p>
    <w:p>
      <w:pPr>
        <w:pStyle w:val="Compact"/>
        <w:numPr>
          <w:ilvl w:val="0"/>
          <w:numId w:val="1002"/>
        </w:numPr>
      </w:pPr>
      <w:r>
        <w:rPr>
          <w:b/>
          <w:bCs/>
        </w:rPr>
        <w:t xml:space="preserve">FX-led growth:</w:t>
      </w:r>
      <w:r>
        <w:t xml:space="preserve"> </w:t>
      </w:r>
      <w:r>
        <w:t xml:space="preserve">translation benefits that do not indicate improved market share.</w:t>
      </w:r>
    </w:p>
    <w:p>
      <w:pPr>
        <w:pStyle w:val="FirstParagraph"/>
      </w:pPr>
      <w:r>
        <w:t xml:space="preserve">Booking Holdings' August 4 report offers a useful industry read-through. It produced</w:t>
      </w:r>
      <w:r>
        <w:t xml:space="preserve"> </w:t>
      </w:r>
      <w:r>
        <w:rPr>
          <w:b/>
          <w:bCs/>
        </w:rPr>
        <w:t xml:space="preserve">5% room-night growth</w:t>
      </w:r>
      <w:r>
        <w:t xml:space="preserve">, with high-single-digit domestic growth but only slight international growth. It said Middle East disruption remained a larger headwind in April and May before conditions improved in June and July. Long-haul travel continued to face higher airfares and reduced capacity.</w:t>
      </w:r>
    </w:p>
    <w:p>
      <w:pPr>
        <w:pStyle w:val="BodyText"/>
      </w:pPr>
      <w:r>
        <w:t xml:space="preserve">That backdrop is mixed for Expedia:</w:t>
      </w:r>
    </w:p>
    <w:p>
      <w:pPr>
        <w:pStyle w:val="Compact"/>
        <w:numPr>
          <w:ilvl w:val="0"/>
          <w:numId w:val="1003"/>
        </w:numPr>
      </w:pPr>
      <w:r>
        <w:t xml:space="preserve">Its U.S.-oriented consumer business should benefit from resilient domestic travel.</w:t>
      </w:r>
    </w:p>
    <w:p>
      <w:pPr>
        <w:pStyle w:val="Compact"/>
        <w:numPr>
          <w:ilvl w:val="0"/>
          <w:numId w:val="1003"/>
        </w:numPr>
      </w:pPr>
      <w:r>
        <w:t xml:space="preserve">Its B2B business is more internationally exposed and therefore more vulnerable to cross-border weakness.</w:t>
      </w:r>
    </w:p>
    <w:p>
      <w:pPr>
        <w:pStyle w:val="Compact"/>
        <w:numPr>
          <w:ilvl w:val="0"/>
          <w:numId w:val="1003"/>
        </w:numPr>
      </w:pPr>
      <w:r>
        <w:t xml:space="preserve">Higher airfares can support gross-booking dollars while hurting ticket volumes, trip attachment and longer-haul lodging demand.</w:t>
      </w:r>
    </w:p>
    <w:p>
      <w:pPr>
        <w:pStyle w:val="FirstParagraph"/>
      </w:pPr>
      <w:r>
        <w:rPr>
          <w:b/>
          <w:bCs/>
        </w:rPr>
        <w:t xml:space="preserve">Investor benchmark:</w:t>
      </w:r>
      <w:r>
        <w:t xml:space="preserve"> </w:t>
      </w:r>
      <w:r>
        <w:t xml:space="preserve">room-night growth around the mid-single digits would be respectable. A materially weaker result would make a bookings beat less compelling, particularly if driven by ADR, air pricing or FX.</w:t>
      </w:r>
    </w:p>
    <w:bookmarkEnd w:id="11"/>
    <w:bookmarkStart w:id="12" w:name="Xd33d7b3a7b53e93feff3b64f9eb655f083870a5"/>
    <w:p>
      <w:pPr>
        <w:pStyle w:val="Heading3"/>
      </w:pPr>
      <w:r>
        <w:t xml:space="preserve">2. Can B2B sustain its growth premium?</w:t>
      </w:r>
    </w:p>
    <w:p>
      <w:pPr>
        <w:pStyle w:val="FirstParagraph"/>
      </w:pPr>
      <w:r>
        <w:t xml:space="preserve">B2B remains Expedia's most differentiated asset and arguably the most important part of the long-term investment case.</w:t>
      </w:r>
    </w:p>
    <w:p>
      <w:pPr>
        <w:pStyle w:val="BodyText"/>
      </w:pPr>
      <w:r>
        <w:t xml:space="preserve">In 1Q26:</w:t>
      </w:r>
    </w:p>
    <w:p>
      <w:pPr>
        <w:pStyle w:val="Compact"/>
        <w:numPr>
          <w:ilvl w:val="0"/>
          <w:numId w:val="1004"/>
        </w:numPr>
      </w:pPr>
      <w:r>
        <w:t xml:space="preserve">B2B gross bookings grew</w:t>
      </w:r>
      <w:r>
        <w:t xml:space="preserve"> </w:t>
      </w:r>
      <w:r>
        <w:rPr>
          <w:b/>
          <w:bCs/>
        </w:rPr>
        <w:t xml:space="preserve">22%</w:t>
      </w:r>
      <w:r>
        <w:t xml:space="preserve">.</w:t>
      </w:r>
    </w:p>
    <w:p>
      <w:pPr>
        <w:pStyle w:val="Compact"/>
        <w:numPr>
          <w:ilvl w:val="0"/>
          <w:numId w:val="1004"/>
        </w:numPr>
      </w:pPr>
      <w:r>
        <w:t xml:space="preserve">B2B revenue grew</w:t>
      </w:r>
      <w:r>
        <w:t xml:space="preserve"> </w:t>
      </w:r>
      <w:r>
        <w:rPr>
          <w:b/>
          <w:bCs/>
        </w:rPr>
        <w:t xml:space="preserve">25%</w:t>
      </w:r>
      <w:r>
        <w:t xml:space="preserve">.</w:t>
      </w:r>
    </w:p>
    <w:p>
      <w:pPr>
        <w:pStyle w:val="Compact"/>
        <w:numPr>
          <w:ilvl w:val="0"/>
          <w:numId w:val="1004"/>
        </w:numPr>
      </w:pPr>
      <w:r>
        <w:t xml:space="preserve">B2B adjusted EBITDA grew</w:t>
      </w:r>
      <w:r>
        <w:t xml:space="preserve"> </w:t>
      </w:r>
      <w:r>
        <w:rPr>
          <w:b/>
          <w:bCs/>
        </w:rPr>
        <w:t xml:space="preserve">24%</w:t>
      </w:r>
      <w:r>
        <w:t xml:space="preserve">.</w:t>
      </w:r>
    </w:p>
    <w:p>
      <w:pPr>
        <w:pStyle w:val="Compact"/>
        <w:numPr>
          <w:ilvl w:val="0"/>
          <w:numId w:val="1004"/>
        </w:numPr>
      </w:pPr>
      <w:r>
        <w:t xml:space="preserve">Rapid API was the largest growth contributor.</w:t>
      </w:r>
    </w:p>
    <w:p>
      <w:pPr>
        <w:pStyle w:val="Compact"/>
        <w:numPr>
          <w:ilvl w:val="0"/>
          <w:numId w:val="1004"/>
        </w:numPr>
      </w:pPr>
      <w:r>
        <w:t xml:space="preserve">Template and TAAP also grew at least in the mid-teens.</w:t>
      </w:r>
    </w:p>
    <w:p>
      <w:pPr>
        <w:pStyle w:val="FirstParagraph"/>
      </w:pPr>
      <w:r>
        <w:t xml:space="preserve">There are two reasons to expect some deceleration:</w:t>
      </w:r>
    </w:p>
    <w:p>
      <w:pPr>
        <w:pStyle w:val="Compact"/>
        <w:numPr>
          <w:ilvl w:val="0"/>
          <w:numId w:val="1005"/>
        </w:numPr>
      </w:pPr>
      <w:r>
        <w:t xml:space="preserve">Management said promotional activity by several large partners was moderating.</w:t>
      </w:r>
    </w:p>
    <w:p>
      <w:pPr>
        <w:pStyle w:val="Compact"/>
        <w:numPr>
          <w:ilvl w:val="0"/>
          <w:numId w:val="1005"/>
        </w:numPr>
      </w:pPr>
      <w:r>
        <w:t xml:space="preserve">Roughly two-thirds of B2B bookings are generated outside the U.S., increasing sensitivity to Middle East-related cancellations and weak long-haul demand.</w:t>
      </w:r>
    </w:p>
    <w:p>
      <w:pPr>
        <w:pStyle w:val="FirstParagraph"/>
      </w:pPr>
      <w:r>
        <w:t xml:space="preserve">A slowdown into the high teens would still support the structural growth narrative. A drop toward low-double-digit growth, particularly without a clear macro explanation, would raise questions about comparisons, partner concentration and competitive pressure.</w:t>
      </w:r>
    </w:p>
    <w:p>
      <w:pPr>
        <w:pStyle w:val="BodyText"/>
      </w:pPr>
      <w:r>
        <w:t xml:space="preserve">Investors should also listen for updates on:</w:t>
      </w:r>
    </w:p>
    <w:p>
      <w:pPr>
        <w:pStyle w:val="Compact"/>
        <w:numPr>
          <w:ilvl w:val="0"/>
          <w:numId w:val="1006"/>
        </w:numPr>
      </w:pPr>
      <w:r>
        <w:t xml:space="preserve">The Uber hotel partnership and its rollout beyond the U.S.</w:t>
      </w:r>
    </w:p>
    <w:p>
      <w:pPr>
        <w:pStyle w:val="Compact"/>
        <w:numPr>
          <w:ilvl w:val="0"/>
          <w:numId w:val="1006"/>
        </w:numPr>
      </w:pPr>
      <w:r>
        <w:t xml:space="preserve">BMO AIR MILES and other recently signed partners.</w:t>
      </w:r>
    </w:p>
    <w:p>
      <w:pPr>
        <w:pStyle w:val="Compact"/>
        <w:numPr>
          <w:ilvl w:val="0"/>
          <w:numId w:val="1006"/>
        </w:numPr>
      </w:pPr>
      <w:r>
        <w:t xml:space="preserve">Expansion into cars, activities and other non-lodging products.</w:t>
      </w:r>
    </w:p>
    <w:p>
      <w:pPr>
        <w:pStyle w:val="Compact"/>
        <w:numPr>
          <w:ilvl w:val="0"/>
          <w:numId w:val="1006"/>
        </w:numPr>
      </w:pPr>
      <w:r>
        <w:t xml:space="preserve">Whether investment spending continues to hold B2B margins roughly flat.</w:t>
      </w:r>
    </w:p>
    <w:p>
      <w:pPr>
        <w:pStyle w:val="Compact"/>
        <w:numPr>
          <w:ilvl w:val="0"/>
          <w:numId w:val="1006"/>
        </w:numPr>
      </w:pPr>
      <w:r>
        <w:t xml:space="preserve">The incrementality of B2B bookings versus potential cannibalization of Expedia's higher-margin consumer channels.</w:t>
      </w:r>
    </w:p>
    <w:p>
      <w:pPr>
        <w:pStyle w:val="FirstParagraph"/>
      </w:pPr>
      <w:r>
        <w:t xml:space="preserve">The Uber relationship is strategically validating, but investors should not expect it to be a major second-quarter financial contributor this early in the rollout.</w:t>
      </w:r>
    </w:p>
    <w:bookmarkEnd w:id="12"/>
    <w:bookmarkStart w:id="15" w:name="Xf198e613d521ef65781010d2dc6bb64757ad834"/>
    <w:p>
      <w:pPr>
        <w:pStyle w:val="Heading3"/>
      </w:pPr>
      <w:r>
        <w:t xml:space="preserve">3. Consumer-brand momentum must persist</w:t>
      </w:r>
    </w:p>
    <w:p>
      <w:pPr>
        <w:pStyle w:val="FirstParagraph"/>
      </w:pPr>
      <w:r>
        <w:t xml:space="preserve">Expedia's consumer segment had an unusually strong first quarter:</w:t>
      </w:r>
    </w:p>
    <w:p>
      <w:pPr>
        <w:pStyle w:val="Compact"/>
        <w:numPr>
          <w:ilvl w:val="0"/>
          <w:numId w:val="1007"/>
        </w:numPr>
      </w:pPr>
      <w:r>
        <w:t xml:space="preserve">Gross bookings grew</w:t>
      </w:r>
      <w:r>
        <w:t xml:space="preserve"> </w:t>
      </w:r>
      <w:r>
        <w:rPr>
          <w:b/>
          <w:bCs/>
        </w:rPr>
        <w:t xml:space="preserve">10%</w:t>
      </w:r>
      <w:r>
        <w:t xml:space="preserve">, the fastest pace in 12 quarters.</w:t>
      </w:r>
    </w:p>
    <w:p>
      <w:pPr>
        <w:pStyle w:val="Compact"/>
        <w:numPr>
          <w:ilvl w:val="0"/>
          <w:numId w:val="1007"/>
        </w:numPr>
      </w:pPr>
      <w:r>
        <w:t xml:space="preserve">Revenue grew</w:t>
      </w:r>
      <w:r>
        <w:t xml:space="preserve"> </w:t>
      </w:r>
      <w:r>
        <w:rPr>
          <w:b/>
          <w:bCs/>
        </w:rPr>
        <w:t xml:space="preserve">8%</w:t>
      </w:r>
      <w:r>
        <w:t xml:space="preserve">.</w:t>
      </w:r>
    </w:p>
    <w:p>
      <w:pPr>
        <w:pStyle w:val="Compact"/>
        <w:numPr>
          <w:ilvl w:val="0"/>
          <w:numId w:val="1007"/>
        </w:numPr>
      </w:pPr>
      <w:r>
        <w:t xml:space="preserve">Consumer adjusted EBITDA nearly doubled.</w:t>
      </w:r>
    </w:p>
    <w:p>
      <w:pPr>
        <w:pStyle w:val="Compact"/>
        <w:numPr>
          <w:ilvl w:val="0"/>
          <w:numId w:val="1007"/>
        </w:numPr>
      </w:pPr>
      <w:r>
        <w:t xml:space="preserve">Direct consumer marketing expense fell</w:t>
      </w:r>
      <w:r>
        <w:t xml:space="preserve"> </w:t>
      </w:r>
      <w:r>
        <w:rPr>
          <w:b/>
          <w:bCs/>
        </w:rPr>
        <w:t xml:space="preserve">7%</w:t>
      </w:r>
      <w:r>
        <w:t xml:space="preserve"> </w:t>
      </w:r>
      <w:r>
        <w:t xml:space="preserve">despite the bookings growth.</w:t>
      </w:r>
    </w:p>
    <w:p>
      <w:pPr>
        <w:pStyle w:val="Compact"/>
        <w:numPr>
          <w:ilvl w:val="0"/>
          <w:numId w:val="1007"/>
        </w:numPr>
      </w:pPr>
      <w:r>
        <w:t xml:space="preserve">Expedia, Hotels.com and Vrbo all contributed.</w:t>
      </w:r>
    </w:p>
    <w:p>
      <w:pPr>
        <w:pStyle w:val="FirstParagraph"/>
      </w:pPr>
      <w:r>
        <w:t xml:space="preserve">The critical question is whether this represents a durable product and brand improvement or primarily a period of aggressive marketing optimization.</w:t>
      </w:r>
    </w:p>
    <w:bookmarkStart w:id="13" w:name="brand-expedia"/>
    <w:p>
      <w:pPr>
        <w:pStyle w:val="Heading4"/>
      </w:pPr>
      <w:r>
        <w:t xml:space="preserve">Brand Expedia</w:t>
      </w:r>
    </w:p>
    <w:p>
      <w:pPr>
        <w:pStyle w:val="FirstParagraph"/>
      </w:pPr>
      <w:r>
        <w:t xml:space="preserve">Watch for continued strength in:</w:t>
      </w:r>
    </w:p>
    <w:p>
      <w:pPr>
        <w:pStyle w:val="Compact"/>
        <w:numPr>
          <w:ilvl w:val="0"/>
          <w:numId w:val="1008"/>
        </w:numPr>
      </w:pPr>
      <w:r>
        <w:t xml:space="preserve">U.S. domestic bookings;</w:t>
      </w:r>
    </w:p>
    <w:p>
      <w:pPr>
        <w:pStyle w:val="Compact"/>
        <w:numPr>
          <w:ilvl w:val="0"/>
          <w:numId w:val="1008"/>
        </w:numPr>
      </w:pPr>
      <w:r>
        <w:t xml:space="preserve">air tickets and hotel attachment;</w:t>
      </w:r>
    </w:p>
    <w:p>
      <w:pPr>
        <w:pStyle w:val="Compact"/>
        <w:numPr>
          <w:ilvl w:val="0"/>
          <w:numId w:val="1008"/>
        </w:numPr>
      </w:pPr>
      <w:r>
        <w:t xml:space="preserve">packages and cross-sell;</w:t>
      </w:r>
    </w:p>
    <w:p>
      <w:pPr>
        <w:pStyle w:val="Compact"/>
        <w:numPr>
          <w:ilvl w:val="0"/>
          <w:numId w:val="1008"/>
        </w:numPr>
      </w:pPr>
      <w:r>
        <w:t xml:space="preserve">insurance and other ancillary products;</w:t>
      </w:r>
    </w:p>
    <w:p>
      <w:pPr>
        <w:pStyle w:val="Compact"/>
        <w:numPr>
          <w:ilvl w:val="0"/>
          <w:numId w:val="1008"/>
        </w:numPr>
      </w:pPr>
      <w:r>
        <w:t xml:space="preserve">loyalty-member growth and repeat behavior.</w:t>
      </w:r>
    </w:p>
    <w:p>
      <w:pPr>
        <w:pStyle w:val="FirstParagraph"/>
      </w:pPr>
      <w:r>
        <w:t xml:space="preserve">Air is strategically useful because it begins the trip-planning relationship, but it is a low-revenue product by itself. Strong air growth is most valuable when Expedia converts those customers into lodging, insurance and package bookings.</w:t>
      </w:r>
    </w:p>
    <w:bookmarkEnd w:id="13"/>
    <w:bookmarkStart w:id="14" w:name="vrbo"/>
    <w:p>
      <w:pPr>
        <w:pStyle w:val="Heading4"/>
      </w:pPr>
      <w:r>
        <w:t xml:space="preserve">Vrbo</w:t>
      </w:r>
    </w:p>
    <w:p>
      <w:pPr>
        <w:pStyle w:val="FirstParagraph"/>
      </w:pPr>
      <w:r>
        <w:t xml:space="preserve">Vrbo has moved from turnaround story to potential growth driver. Management cited improved traffic, conversion, product quality and supplier-funded promotions, with more than one-third of Vrbo bookings using such promotions in the first quarter.</w:t>
      </w:r>
    </w:p>
    <w:p>
      <w:pPr>
        <w:pStyle w:val="BodyText"/>
      </w:pPr>
      <w:r>
        <w:t xml:space="preserve">Key indicators include:</w:t>
      </w:r>
    </w:p>
    <w:p>
      <w:pPr>
        <w:pStyle w:val="Compact"/>
        <w:numPr>
          <w:ilvl w:val="0"/>
          <w:numId w:val="1009"/>
        </w:numPr>
      </w:pPr>
      <w:r>
        <w:t xml:space="preserve">Whether Vrbo continues to grow bookings and room nights;</w:t>
      </w:r>
    </w:p>
    <w:p>
      <w:pPr>
        <w:pStyle w:val="Compact"/>
        <w:numPr>
          <w:ilvl w:val="0"/>
          <w:numId w:val="1009"/>
        </w:numPr>
      </w:pPr>
      <w:r>
        <w:t xml:space="preserve">conversion improvements from natural-language search and AI filters;</w:t>
      </w:r>
    </w:p>
    <w:p>
      <w:pPr>
        <w:pStyle w:val="Compact"/>
        <w:numPr>
          <w:ilvl w:val="0"/>
          <w:numId w:val="1009"/>
        </w:numPr>
      </w:pPr>
      <w:r>
        <w:t xml:space="preserve">promotion-driven growth versus underlying organic demand;</w:t>
      </w:r>
    </w:p>
    <w:p>
      <w:pPr>
        <w:pStyle w:val="Compact"/>
        <w:numPr>
          <w:ilvl w:val="0"/>
          <w:numId w:val="1009"/>
        </w:numPr>
      </w:pPr>
      <w:r>
        <w:t xml:space="preserve">inventory quality and traveler trust;</w:t>
      </w:r>
    </w:p>
    <w:p>
      <w:pPr>
        <w:pStyle w:val="Compact"/>
        <w:numPr>
          <w:ilvl w:val="0"/>
          <w:numId w:val="1009"/>
        </w:numPr>
      </w:pPr>
      <w:r>
        <w:t xml:space="preserve">the competitive position against Airbnb and Booking.com.</w:t>
      </w:r>
    </w:p>
    <w:p>
      <w:pPr>
        <w:pStyle w:val="FirstParagraph"/>
      </w:pPr>
      <w:r>
        <w:t xml:space="preserve">Booking.com reported only 4% alternative-accommodation room-night growth in its second quarter, modestly below its total growth. That may create an opportunity for Vrbo to demonstrate relative improvement, although the companies have different geographic and property mixes.</w:t>
      </w:r>
    </w:p>
    <w:bookmarkEnd w:id="14"/>
    <w:bookmarkEnd w:id="15"/>
    <w:bookmarkStart w:id="16" w:name="Xd5044b82dde4bf6cbc066acfcca1243ffe33950"/>
    <w:p>
      <w:pPr>
        <w:pStyle w:val="Heading3"/>
      </w:pPr>
      <w:r>
        <w:t xml:space="preserve">4. Margin quality is as important as the beat</w:t>
      </w:r>
    </w:p>
    <w:p>
      <w:pPr>
        <w:pStyle w:val="FirstParagraph"/>
      </w:pPr>
      <w:r>
        <w:t xml:space="preserve">The first quarter's nearly six percentage points of EBITDA-margin expansion was exceptional, driven by:</w:t>
      </w:r>
    </w:p>
    <w:p>
      <w:pPr>
        <w:pStyle w:val="Compact"/>
        <w:numPr>
          <w:ilvl w:val="0"/>
          <w:numId w:val="1010"/>
        </w:numPr>
      </w:pPr>
      <w:r>
        <w:t xml:space="preserve">consumer marketing leverage;</w:t>
      </w:r>
    </w:p>
    <w:p>
      <w:pPr>
        <w:pStyle w:val="Compact"/>
        <w:numPr>
          <w:ilvl w:val="0"/>
          <w:numId w:val="1010"/>
        </w:numPr>
      </w:pPr>
      <w:r>
        <w:t xml:space="preserve">cost reductions;</w:t>
      </w:r>
    </w:p>
    <w:p>
      <w:pPr>
        <w:pStyle w:val="Compact"/>
        <w:numPr>
          <w:ilvl w:val="0"/>
          <w:numId w:val="1010"/>
        </w:numPr>
      </w:pPr>
      <w:r>
        <w:t xml:space="preserve">customer-service and payment efficiencies;</w:t>
      </w:r>
    </w:p>
    <w:p>
      <w:pPr>
        <w:pStyle w:val="Compact"/>
        <w:numPr>
          <w:ilvl w:val="0"/>
          <w:numId w:val="1010"/>
        </w:numPr>
      </w:pPr>
      <w:r>
        <w:t xml:space="preserve">revenue flow-through;</w:t>
      </w:r>
    </w:p>
    <w:p>
      <w:pPr>
        <w:pStyle w:val="Compact"/>
        <w:numPr>
          <w:ilvl w:val="0"/>
          <w:numId w:val="1010"/>
        </w:numPr>
      </w:pPr>
      <w:r>
        <w:t xml:space="preserve">approximately one point of favorable FX.</w:t>
      </w:r>
    </w:p>
    <w:p>
      <w:pPr>
        <w:pStyle w:val="FirstParagraph"/>
      </w:pPr>
      <w:r>
        <w:t xml:space="preserve">The second-quarter guide calls for a much more normalized</w:t>
      </w:r>
      <w:r>
        <w:t xml:space="preserve"> </w:t>
      </w:r>
      <w:r>
        <w:rPr>
          <w:b/>
          <w:bCs/>
        </w:rPr>
        <w:t xml:space="preserve">50–100 basis points</w:t>
      </w:r>
      <w:r>
        <w:t xml:space="preserve"> </w:t>
      </w:r>
      <w:r>
        <w:t xml:space="preserve">of margin expansion. Street EBITDA of about $1.04 billion implies a margin near</w:t>
      </w:r>
      <w:r>
        <w:t xml:space="preserve"> </w:t>
      </w:r>
      <w:r>
        <w:rPr>
          <w:b/>
          <w:bCs/>
        </w:rPr>
        <w:t xml:space="preserve">24.9%</w:t>
      </w:r>
      <w:r>
        <w:t xml:space="preserve">, or roughly 90 basis points of expansion—already near the top of that range.</w:t>
      </w:r>
    </w:p>
    <w:p>
      <w:pPr>
        <w:pStyle w:val="BodyText"/>
      </w:pPr>
      <w:r>
        <w:t xml:space="preserve">A high-quality beat would combine:</w:t>
      </w:r>
    </w:p>
    <w:p>
      <w:pPr>
        <w:pStyle w:val="Compact"/>
        <w:numPr>
          <w:ilvl w:val="0"/>
          <w:numId w:val="1011"/>
        </w:numPr>
      </w:pPr>
      <w:r>
        <w:t xml:space="preserve">revenue around or above the top of guidance;</w:t>
      </w:r>
    </w:p>
    <w:p>
      <w:pPr>
        <w:pStyle w:val="Compact"/>
        <w:numPr>
          <w:ilvl w:val="0"/>
          <w:numId w:val="1011"/>
        </w:numPr>
      </w:pPr>
      <w:r>
        <w:t xml:space="preserve">EBITDA margin above 25%;</w:t>
      </w:r>
    </w:p>
    <w:p>
      <w:pPr>
        <w:pStyle w:val="Compact"/>
        <w:numPr>
          <w:ilvl w:val="0"/>
          <w:numId w:val="1011"/>
        </w:numPr>
      </w:pPr>
      <w:r>
        <w:t xml:space="preserve">continued consumer marketing leverage;</w:t>
      </w:r>
    </w:p>
    <w:p>
      <w:pPr>
        <w:pStyle w:val="Compact"/>
        <w:numPr>
          <w:ilvl w:val="0"/>
          <w:numId w:val="1011"/>
        </w:numPr>
      </w:pPr>
      <w:r>
        <w:t xml:space="preserve">controlled overhead;</w:t>
      </w:r>
    </w:p>
    <w:p>
      <w:pPr>
        <w:pStyle w:val="Compact"/>
        <w:numPr>
          <w:ilvl w:val="0"/>
          <w:numId w:val="1011"/>
        </w:numPr>
      </w:pPr>
      <w:r>
        <w:t xml:space="preserve">stable or improving customer-service costs.</w:t>
      </w:r>
    </w:p>
    <w:p>
      <w:pPr>
        <w:pStyle w:val="FirstParagraph"/>
      </w:pPr>
      <w:r>
        <w:t xml:space="preserve">A lower-quality beat would rely on favorable FX, unusually strong ADRs or cost cuts accompanied by weak room-night growth.</w:t>
      </w:r>
    </w:p>
    <w:p>
      <w:pPr>
        <w:pStyle w:val="BodyText"/>
      </w:pPr>
      <w:r>
        <w:t xml:space="preserve">Management has warned that margin expansion should moderate in the second half as Expedia laps the large marketing reductions and restructuring actions taken in 2025. AI token costs, technical talent and product investment will also create some expense pressure. Investors will therefore focus on whether the company can still expand margins once the easiest comparisons disappear.</w:t>
      </w:r>
    </w:p>
    <w:bookmarkEnd w:id="16"/>
    <w:bookmarkEnd w:id="17"/>
    <w:bookmarkStart w:id="20" w:name="Xfb5b597c9509a188552350e18a8b7641f234b01"/>
    <w:p>
      <w:pPr>
        <w:pStyle w:val="Heading2"/>
      </w:pPr>
      <w:r>
        <w:t xml:space="preserve">Full-year guidance is likely the main stock catalyst</w:t>
      </w:r>
    </w:p>
    <w:p>
      <w:pPr>
        <w:pStyle w:val="FirstParagraph"/>
      </w:pPr>
      <w:r>
        <w:t xml:space="preserve">Expedia's existing 2026 outlook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FY26 outlook</w:t>
            </w:r>
          </w:p>
        </w:tc>
      </w:tr>
      <w:tr>
        <w:tc>
          <w:tcPr/>
          <w:p>
            <w:pPr>
              <w:pStyle w:val="Compact"/>
            </w:pPr>
            <w:r>
              <w:t xml:space="preserve">Gross bookings</w:t>
            </w:r>
          </w:p>
        </w:tc>
        <w:tc>
          <w:tcPr/>
          <w:p>
            <w:pPr>
              <w:pStyle w:val="Compact"/>
              <w:jc w:val="right"/>
            </w:pPr>
            <m:oMath>
              <m:r>
                <m:t>127</m:t>
              </m:r>
              <m:r>
                <m:t>B</m:t>
              </m:r>
              <m:r>
                <m:rPr>
                  <m:sty m:val="p"/>
                </m:rPr>
                <m:t>–</m:t>
              </m:r>
            </m:oMath>
            <w:r>
              <w:rPr>
                <w:b/>
                <w:bCs/>
              </w:rPr>
              <w:t xml:space="preserve">129B</w:t>
            </w:r>
            <w:r>
              <w:t xml:space="preserve">, up 6%–8%</w:t>
            </w:r>
          </w:p>
        </w:tc>
      </w:tr>
      <w:tr>
        <w:tc>
          <w:tcPr/>
          <w:p>
            <w:pPr>
              <w:pStyle w:val="Compact"/>
            </w:pPr>
            <w:r>
              <w:t xml:space="preserve">Revenue</w:t>
            </w:r>
          </w:p>
        </w:tc>
        <w:tc>
          <w:tcPr/>
          <w:p>
            <w:pPr>
              <w:pStyle w:val="Compact"/>
              <w:jc w:val="right"/>
            </w:pPr>
            <m:oMath>
              <m:r>
                <m:t>15.6</m:t>
              </m:r>
              <m:r>
                <m:t>B</m:t>
              </m:r>
              <m:r>
                <m:rPr>
                  <m:sty m:val="p"/>
                </m:rPr>
                <m:t>–</m:t>
              </m:r>
            </m:oMath>
            <w:r>
              <w:rPr>
                <w:b/>
                <w:bCs/>
              </w:rPr>
              <w:t xml:space="preserve">16.0B</w:t>
            </w:r>
            <w:r>
              <w:t xml:space="preserve">, up 6%–9%</w:t>
            </w:r>
          </w:p>
        </w:tc>
      </w:tr>
      <w:tr>
        <w:tc>
          <w:tcPr/>
          <w:p>
            <w:pPr>
              <w:pStyle w:val="Compact"/>
            </w:pPr>
            <w:r>
              <w:t xml:space="preserve">Adjusted EBITDA margin expansion</w:t>
            </w:r>
          </w:p>
        </w:tc>
        <w:tc>
          <w:tcPr/>
          <w:p>
            <w:pPr>
              <w:pStyle w:val="Compact"/>
              <w:jc w:val="right"/>
            </w:pPr>
            <w:r>
              <w:rPr>
                <w:b/>
                <w:bCs/>
              </w:rPr>
              <w:t xml:space="preserve">100–125 bps</w:t>
            </w:r>
          </w:p>
        </w:tc>
      </w:tr>
    </w:tbl>
    <w:p>
      <w:pPr>
        <w:pStyle w:val="BodyText"/>
      </w:pPr>
      <w:r>
        <w:t xml:space="preserve">After 1Q, management said it expected to finish at the</w:t>
      </w:r>
      <w:r>
        <w:t xml:space="preserve"> </w:t>
      </w:r>
      <w:r>
        <w:rPr>
          <w:b/>
          <w:bCs/>
        </w:rPr>
        <w:t xml:space="preserve">high end</w:t>
      </w:r>
      <w:r>
        <w:t xml:space="preserve"> </w:t>
      </w:r>
      <w:r>
        <w:t xml:space="preserve">of the margin range and acknowledged potential upside, but delayed an update because of geopolitical and macro uncertainty.</w:t>
      </w:r>
    </w:p>
    <w:p>
      <w:pPr>
        <w:pStyle w:val="BodyText"/>
      </w:pPr>
      <w:r>
        <w:t xml:space="preserve">The stock's recent appreciation suggests investors now expect that upside to be formalized.</w:t>
      </w:r>
    </w:p>
    <w:bookmarkStart w:id="18" w:name="what-would-count-as-constructive"/>
    <w:p>
      <w:pPr>
        <w:pStyle w:val="Heading3"/>
      </w:pPr>
      <w:r>
        <w:t xml:space="preserve">What would count as constructive?</w:t>
      </w:r>
    </w:p>
    <w:p>
      <w:pPr>
        <w:pStyle w:val="Compact"/>
        <w:numPr>
          <w:ilvl w:val="0"/>
          <w:numId w:val="1012"/>
        </w:numPr>
      </w:pPr>
      <w:r>
        <w:t xml:space="preserve">Raising gross-bookings and revenue guidance, even modestly.</w:t>
      </w:r>
    </w:p>
    <w:p>
      <w:pPr>
        <w:pStyle w:val="Compact"/>
        <w:numPr>
          <w:ilvl w:val="0"/>
          <w:numId w:val="1012"/>
        </w:numPr>
      </w:pPr>
      <w:r>
        <w:t xml:space="preserve">Increasing margin guidance above the existing 100–125 basis-point range.</w:t>
      </w:r>
    </w:p>
    <w:p>
      <w:pPr>
        <w:pStyle w:val="Compact"/>
        <w:numPr>
          <w:ilvl w:val="0"/>
          <w:numId w:val="1012"/>
        </w:numPr>
      </w:pPr>
      <w:r>
        <w:t xml:space="preserve">Indicating that consumer marketing efficiencies are durable rather than solely comparison-driven.</w:t>
      </w:r>
    </w:p>
    <w:p>
      <w:pPr>
        <w:pStyle w:val="Compact"/>
        <w:numPr>
          <w:ilvl w:val="0"/>
          <w:numId w:val="1012"/>
        </w:numPr>
      </w:pPr>
      <w:r>
        <w:t xml:space="preserve">Describing July demand as stable or improving.</w:t>
      </w:r>
    </w:p>
    <w:p>
      <w:pPr>
        <w:pStyle w:val="Compact"/>
        <w:numPr>
          <w:ilvl w:val="0"/>
          <w:numId w:val="1012"/>
        </w:numPr>
      </w:pPr>
      <w:r>
        <w:t xml:space="preserve">Maintaining healthy B2B growth despite international travel disruption.</w:t>
      </w:r>
    </w:p>
    <w:bookmarkEnd w:id="18"/>
    <w:bookmarkStart w:id="19" w:name="what-could-disappoint"/>
    <w:p>
      <w:pPr>
        <w:pStyle w:val="Heading3"/>
      </w:pPr>
      <w:r>
        <w:t xml:space="preserve">What could disappoint?</w:t>
      </w:r>
    </w:p>
    <w:p>
      <w:pPr>
        <w:pStyle w:val="Compact"/>
        <w:numPr>
          <w:ilvl w:val="0"/>
          <w:numId w:val="1013"/>
        </w:numPr>
      </w:pPr>
      <w:r>
        <w:t xml:space="preserve">Merely reiterating the full-year outlook after a second-quarter beat.</w:t>
      </w:r>
    </w:p>
    <w:p>
      <w:pPr>
        <w:pStyle w:val="Compact"/>
        <w:numPr>
          <w:ilvl w:val="0"/>
          <w:numId w:val="1013"/>
        </w:numPr>
      </w:pPr>
      <w:r>
        <w:t xml:space="preserve">Raising reported revenue guidance primarily for FX while leaving underlying growth unchanged.</w:t>
      </w:r>
    </w:p>
    <w:p>
      <w:pPr>
        <w:pStyle w:val="Compact"/>
        <w:numPr>
          <w:ilvl w:val="0"/>
          <w:numId w:val="1013"/>
        </w:numPr>
      </w:pPr>
      <w:r>
        <w:t xml:space="preserve">Cutting booking expectations because of air or international weakness.</w:t>
      </w:r>
    </w:p>
    <w:p>
      <w:pPr>
        <w:pStyle w:val="Compact"/>
        <w:numPr>
          <w:ilvl w:val="0"/>
          <w:numId w:val="1013"/>
        </w:numPr>
      </w:pPr>
      <w:r>
        <w:t xml:space="preserve">Signaling that second-half AI and product investments will absorb most operating leverage.</w:t>
      </w:r>
    </w:p>
    <w:p>
      <w:pPr>
        <w:pStyle w:val="Compact"/>
        <w:numPr>
          <w:ilvl w:val="0"/>
          <w:numId w:val="1013"/>
        </w:numPr>
      </w:pPr>
      <w:r>
        <w:t xml:space="preserve">Caution around July cancellations, booking windows or U.S. consumer demand.</w:t>
      </w:r>
    </w:p>
    <w:bookmarkEnd w:id="19"/>
    <w:bookmarkEnd w:id="20"/>
    <w:bookmarkStart w:id="21" w:name="capital-allocation"/>
    <w:p>
      <w:pPr>
        <w:pStyle w:val="Heading2"/>
      </w:pPr>
      <w:r>
        <w:t xml:space="preserve">Capital allocation</w:t>
      </w:r>
    </w:p>
    <w:p>
      <w:pPr>
        <w:pStyle w:val="FirstParagraph"/>
      </w:pPr>
      <w:r>
        <w:t xml:space="preserve">Expedia repurchased</w:t>
      </w:r>
      <w:r>
        <w:t xml:space="preserve"> </w:t>
      </w:r>
      <m:oMath>
        <m:r>
          <m:t>700</m:t>
        </m:r>
        <m:r>
          <m:t>m</m:t>
        </m:r>
        <m:r>
          <m:t>i</m:t>
        </m:r>
        <m:r>
          <m:t>l</m:t>
        </m:r>
        <m:r>
          <m:t>l</m:t>
        </m:r>
        <m:r>
          <m:t>i</m:t>
        </m:r>
        <m:r>
          <m:t>o</m:t>
        </m:r>
        <m:r>
          <m:t>n</m:t>
        </m:r>
        <m:r>
          <m:rPr>
            <m:sty m:val="p"/>
          </m:rPr>
          <m:t>*</m:t>
        </m:r>
        <m:r>
          <m:rPr>
            <m:sty m:val="p"/>
          </m:rPr>
          <m:t>*</m:t>
        </m:r>
        <m:r>
          <m:t>o</m:t>
        </m:r>
        <m:r>
          <m:t>f</m:t>
        </m:r>
        <m:r>
          <m:t>s</m:t>
        </m:r>
        <m:r>
          <m:t>t</m:t>
        </m:r>
        <m:r>
          <m:t>o</m:t>
        </m:r>
        <m:r>
          <m:t>c</m:t>
        </m:r>
        <m:r>
          <m:t>k</m:t>
        </m:r>
        <m:r>
          <m:t>i</m:t>
        </m:r>
        <m:r>
          <m:t>n</m:t>
        </m:r>
        <m:r>
          <m:t>1</m:t>
        </m:r>
        <m:r>
          <m:t>Q</m:t>
        </m:r>
        <m:r>
          <m:t>a</m:t>
        </m:r>
        <m:r>
          <m:t>t</m:t>
        </m:r>
        <m:r>
          <m:t>a</m:t>
        </m:r>
        <m:r>
          <m:t>n</m:t>
        </m:r>
        <m:r>
          <m:t>a</m:t>
        </m:r>
        <m:r>
          <m:t>v</m:t>
        </m:r>
        <m:r>
          <m:t>e</m:t>
        </m:r>
        <m:r>
          <m:t>r</m:t>
        </m:r>
        <m:r>
          <m:t>a</m:t>
        </m:r>
        <m:r>
          <m:t>g</m:t>
        </m:r>
        <m:r>
          <m:t>e</m:t>
        </m:r>
        <m:r>
          <m:t>p</m:t>
        </m:r>
        <m:r>
          <m:t>r</m:t>
        </m:r>
        <m:r>
          <m:t>i</m:t>
        </m:r>
        <m:r>
          <m:t>c</m:t>
        </m:r>
        <m:r>
          <m:t>e</m:t>
        </m:r>
        <m:r>
          <m:t>o</m:t>
        </m:r>
        <m:r>
          <m:t>f</m:t>
        </m:r>
        <m:r>
          <m:t>a</m:t>
        </m:r>
        <m:r>
          <m:t>p</m:t>
        </m:r>
        <m:r>
          <m:t>p</m:t>
        </m:r>
        <m:r>
          <m:t>r</m:t>
        </m:r>
        <m:r>
          <m:t>o</m:t>
        </m:r>
        <m:r>
          <m:t>x</m:t>
        </m:r>
        <m:r>
          <m:t>i</m:t>
        </m:r>
        <m:r>
          <m:t>m</m:t>
        </m:r>
        <m:r>
          <m:t>a</m:t>
        </m:r>
        <m:r>
          <m:t>t</m:t>
        </m:r>
        <m:r>
          <m:t>e</m:t>
        </m:r>
        <m:r>
          <m:t>l</m:t>
        </m:r>
        <m:r>
          <m:t>y</m:t>
        </m:r>
        <m:r>
          <m:rPr>
            <m:sty m:val="p"/>
          </m:rPr>
          <m:t>*</m:t>
        </m:r>
        <m:r>
          <m:rPr>
            <m:sty m:val="p"/>
          </m:rPr>
          <m:t>*</m:t>
        </m:r>
      </m:oMath>
      <w:r>
        <w:rPr>
          <w:b/>
          <w:bCs/>
        </w:rPr>
        <w:t xml:space="preserve">212 per share</w:t>
      </w:r>
      <w:r>
        <w:t xml:space="preserve">, and subsequently authorized another</w:t>
      </w:r>
      <w:r>
        <w:t xml:space="preserve"> </w:t>
      </w:r>
      <w:r>
        <w:rPr>
          <w:b/>
          <w:bCs/>
        </w:rPr>
        <w:t xml:space="preserve">$5 billion</w:t>
      </w:r>
      <w:r>
        <w:t xml:space="preserve"> </w:t>
      </w:r>
      <w:r>
        <w:t xml:space="preserve">repurchase program. The share price is now materially higher, making the pace and discipline of repurchases more relevant.</w:t>
      </w:r>
    </w:p>
    <w:p>
      <w:pPr>
        <w:pStyle w:val="BodyText"/>
      </w:pPr>
      <w:r>
        <w:t xml:space="preserve">Investors should watch:</w:t>
      </w:r>
    </w:p>
    <w:p>
      <w:pPr>
        <w:pStyle w:val="Compact"/>
        <w:numPr>
          <w:ilvl w:val="0"/>
          <w:numId w:val="1014"/>
        </w:numPr>
      </w:pPr>
      <w:r>
        <w:t xml:space="preserve">Second-quarter repurchase spending and average purchase price.</w:t>
      </w:r>
    </w:p>
    <w:p>
      <w:pPr>
        <w:pStyle w:val="Compact"/>
        <w:numPr>
          <w:ilvl w:val="0"/>
          <w:numId w:val="1014"/>
        </w:numPr>
      </w:pPr>
      <w:r>
        <w:t xml:space="preserve">Updated share-count expectations.</w:t>
      </w:r>
    </w:p>
    <w:p>
      <w:pPr>
        <w:pStyle w:val="Compact"/>
        <w:numPr>
          <w:ilvl w:val="0"/>
          <w:numId w:val="1014"/>
        </w:numPr>
      </w:pPr>
      <w:r>
        <w:t xml:space="preserve">Whether management still intends a pace similar to recent years.</w:t>
      </w:r>
    </w:p>
    <w:p>
      <w:pPr>
        <w:pStyle w:val="Compact"/>
        <w:numPr>
          <w:ilvl w:val="0"/>
          <w:numId w:val="1014"/>
        </w:numPr>
      </w:pPr>
      <w:r>
        <w:t xml:space="preserve">The balance between buybacks, debt management and small acquisitions.</w:t>
      </w:r>
    </w:p>
    <w:p>
      <w:pPr>
        <w:pStyle w:val="Compact"/>
        <w:numPr>
          <w:ilvl w:val="0"/>
          <w:numId w:val="1014"/>
        </w:numPr>
      </w:pPr>
      <w:r>
        <w:t xml:space="preserve">Whether new CFO Derek Andersen changes financial targets or capital-allocation communication.</w:t>
      </w:r>
    </w:p>
    <w:p>
      <w:pPr>
        <w:pStyle w:val="FirstParagraph"/>
      </w:pPr>
      <w:r>
        <w:t xml:space="preserve">Buybacks should continue to support EPS growth, but at the current price the incremental accretion is less powerful than it was earlier in the year.</w:t>
      </w:r>
    </w:p>
    <w:bookmarkEnd w:id="21"/>
    <w:bookmarkStart w:id="22" w:name="X18f803a3b97264ee1eb652eee8378ba37d6fe4f"/>
    <w:p>
      <w:pPr>
        <w:pStyle w:val="Heading2"/>
      </w:pPr>
      <w:r>
        <w:t xml:space="preserve">AI: strategically important, financially early</w:t>
      </w:r>
    </w:p>
    <w:p>
      <w:pPr>
        <w:pStyle w:val="FirstParagraph"/>
      </w:pPr>
      <w:r>
        <w:t xml:space="preserve">Expedia's AI strategy has three components:</w:t>
      </w:r>
    </w:p>
    <w:p>
      <w:pPr>
        <w:pStyle w:val="Compact"/>
        <w:numPr>
          <w:ilvl w:val="0"/>
          <w:numId w:val="1015"/>
        </w:numPr>
      </w:pPr>
      <w:r>
        <w:rPr>
          <w:b/>
          <w:bCs/>
        </w:rPr>
        <w:t xml:space="preserve">Improve its own products:</w:t>
      </w:r>
      <w:r>
        <w:t xml:space="preserve"> </w:t>
      </w:r>
      <w:r>
        <w:t xml:space="preserve">personalization, ranking, natural-language search and micro-agents.</w:t>
      </w:r>
    </w:p>
    <w:p>
      <w:pPr>
        <w:pStyle w:val="Compact"/>
        <w:numPr>
          <w:ilvl w:val="0"/>
          <w:numId w:val="1015"/>
        </w:numPr>
      </w:pPr>
      <w:r>
        <w:rPr>
          <w:b/>
          <w:bCs/>
        </w:rPr>
        <w:t xml:space="preserve">Acquire traffic from AI platforms:</w:t>
      </w:r>
      <w:r>
        <w:t xml:space="preserve"> </w:t>
      </w:r>
      <w:r>
        <w:t xml:space="preserve">organic answer-engine optimization and paid placements.</w:t>
      </w:r>
    </w:p>
    <w:p>
      <w:pPr>
        <w:pStyle w:val="Compact"/>
        <w:numPr>
          <w:ilvl w:val="0"/>
          <w:numId w:val="1015"/>
        </w:numPr>
      </w:pPr>
      <w:r>
        <w:rPr>
          <w:b/>
          <w:bCs/>
        </w:rPr>
        <w:t xml:space="preserve">Lower internal costs:</w:t>
      </w:r>
      <w:r>
        <w:t xml:space="preserve"> </w:t>
      </w:r>
      <w:r>
        <w:t xml:space="preserve">customer service, software development and marketing productivity.</w:t>
      </w:r>
    </w:p>
    <w:p>
      <w:pPr>
        <w:pStyle w:val="FirstParagraph"/>
      </w:pPr>
      <w:r>
        <w:t xml:space="preserve">Management said in June that AI-related traffic was still less than approximately 1.5% of total traffic. Investors should therefore resist interpreting near-term results primarily through an AI-disintermediation lens.</w:t>
      </w:r>
    </w:p>
    <w:p>
      <w:pPr>
        <w:pStyle w:val="BodyText"/>
      </w:pPr>
      <w:r>
        <w:t xml:space="preserve">The more useful questions are:</w:t>
      </w:r>
    </w:p>
    <w:p>
      <w:pPr>
        <w:pStyle w:val="Compact"/>
        <w:numPr>
          <w:ilvl w:val="0"/>
          <w:numId w:val="1016"/>
        </w:numPr>
      </w:pPr>
      <w:r>
        <w:t xml:space="preserve">Is direct traffic remaining near two-thirds of bookings?</w:t>
      </w:r>
    </w:p>
    <w:p>
      <w:pPr>
        <w:pStyle w:val="Compact"/>
        <w:numPr>
          <w:ilvl w:val="0"/>
          <w:numId w:val="1016"/>
        </w:numPr>
      </w:pPr>
      <w:r>
        <w:t xml:space="preserve">Are AI features improving conversion or repeat rates?</w:t>
      </w:r>
    </w:p>
    <w:p>
      <w:pPr>
        <w:pStyle w:val="Compact"/>
        <w:numPr>
          <w:ilvl w:val="0"/>
          <w:numId w:val="1016"/>
        </w:numPr>
      </w:pPr>
      <w:r>
        <w:t xml:space="preserve">Is Google SEO traffic deteriorating?</w:t>
      </w:r>
    </w:p>
    <w:p>
      <w:pPr>
        <w:pStyle w:val="Compact"/>
        <w:numPr>
          <w:ilvl w:val="0"/>
          <w:numId w:val="1016"/>
        </w:numPr>
      </w:pPr>
      <w:r>
        <w:t xml:space="preserve">Can customer-service automation continue lowering cost per interaction?</w:t>
      </w:r>
    </w:p>
    <w:p>
      <w:pPr>
        <w:pStyle w:val="Compact"/>
        <w:numPr>
          <w:ilvl w:val="0"/>
          <w:numId w:val="1016"/>
        </w:numPr>
      </w:pPr>
      <w:r>
        <w:t xml:space="preserve">Are rising AI costs being funded by genuine productivity rather than reduced investment elsewhere?</w:t>
      </w:r>
    </w:p>
    <w:p>
      <w:pPr>
        <w:pStyle w:val="FirstParagraph"/>
      </w:pPr>
      <w:r>
        <w:t xml:space="preserve">Booking Holdings similarly reported that traffic from large-language-model platforms remains well below 1% of room nights. That supports Expedia's argument that AI is currently more of a discovery and advertising channel than an immediate booking-platform replacement.</w:t>
      </w:r>
    </w:p>
    <w:bookmarkEnd w:id="22"/>
    <w:bookmarkStart w:id="26" w:name="scenario-framework"/>
    <w:p>
      <w:pPr>
        <w:pStyle w:val="Heading2"/>
      </w:pPr>
      <w:r>
        <w:t xml:space="preserve">Scenario framework</w:t>
      </w:r>
    </w:p>
    <w:bookmarkStart w:id="23" w:name="bull-case"/>
    <w:p>
      <w:pPr>
        <w:pStyle w:val="Heading3"/>
      </w:pPr>
      <w:r>
        <w:t xml:space="preserve">Bull case</w:t>
      </w:r>
    </w:p>
    <w:p>
      <w:pPr>
        <w:pStyle w:val="Compact"/>
        <w:numPr>
          <w:ilvl w:val="0"/>
          <w:numId w:val="1017"/>
        </w:numPr>
      </w:pPr>
      <w:r>
        <w:t xml:space="preserve">Gross bookings and revenue exceed the top of guidance.</w:t>
      </w:r>
    </w:p>
    <w:p>
      <w:pPr>
        <w:pStyle w:val="Compact"/>
        <w:numPr>
          <w:ilvl w:val="0"/>
          <w:numId w:val="1017"/>
        </w:numPr>
      </w:pPr>
      <w:r>
        <w:t xml:space="preserve">Room nights grow at least mid-single digits.</w:t>
      </w:r>
    </w:p>
    <w:p>
      <w:pPr>
        <w:pStyle w:val="Compact"/>
        <w:numPr>
          <w:ilvl w:val="0"/>
          <w:numId w:val="1017"/>
        </w:numPr>
      </w:pPr>
      <w:r>
        <w:t xml:space="preserve">B2B bookings remain around 20% or better.</w:t>
      </w:r>
    </w:p>
    <w:p>
      <w:pPr>
        <w:pStyle w:val="Compact"/>
        <w:numPr>
          <w:ilvl w:val="0"/>
          <w:numId w:val="1017"/>
        </w:numPr>
      </w:pPr>
      <w:r>
        <w:t xml:space="preserve">Consumer bookings sustain high-single-digit or better growth.</w:t>
      </w:r>
    </w:p>
    <w:p>
      <w:pPr>
        <w:pStyle w:val="Compact"/>
        <w:numPr>
          <w:ilvl w:val="0"/>
          <w:numId w:val="1017"/>
        </w:numPr>
      </w:pPr>
      <w:r>
        <w:t xml:space="preserve">EBITDA exceeds roughly $1.05 billion with margin above 25%.</w:t>
      </w:r>
    </w:p>
    <w:p>
      <w:pPr>
        <w:pStyle w:val="Compact"/>
        <w:numPr>
          <w:ilvl w:val="0"/>
          <w:numId w:val="1017"/>
        </w:numPr>
      </w:pPr>
      <w:r>
        <w:t xml:space="preserve">Full-year bookings, revenue and margin guidance are raised.</w:t>
      </w:r>
    </w:p>
    <w:p>
      <w:pPr>
        <w:pStyle w:val="Compact"/>
        <w:numPr>
          <w:ilvl w:val="0"/>
          <w:numId w:val="1017"/>
        </w:numPr>
      </w:pPr>
      <w:r>
        <w:t xml:space="preserve">July trends show continued normalization.</w:t>
      </w:r>
    </w:p>
    <w:p>
      <w:pPr>
        <w:pStyle w:val="FirstParagraph"/>
      </w:pPr>
      <w:r>
        <w:t xml:space="preserve">This would reinforce the thesis that Expedia is producing both renewed growth and structural margin expansion.</w:t>
      </w:r>
    </w:p>
    <w:bookmarkEnd w:id="23"/>
    <w:bookmarkStart w:id="24" w:name="base-case"/>
    <w:p>
      <w:pPr>
        <w:pStyle w:val="Heading3"/>
      </w:pPr>
      <w:r>
        <w:t xml:space="preserve">Base case</w:t>
      </w:r>
    </w:p>
    <w:p>
      <w:pPr>
        <w:pStyle w:val="Compact"/>
        <w:numPr>
          <w:ilvl w:val="0"/>
          <w:numId w:val="1018"/>
        </w:numPr>
      </w:pPr>
      <w:r>
        <w:t xml:space="preserve">Revenue and EBITDA modestly beat.</w:t>
      </w:r>
    </w:p>
    <w:p>
      <w:pPr>
        <w:pStyle w:val="Compact"/>
        <w:numPr>
          <w:ilvl w:val="0"/>
          <w:numId w:val="1018"/>
        </w:numPr>
      </w:pPr>
      <w:r>
        <w:t xml:space="preserve">Room-night growth is around 5%.</w:t>
      </w:r>
    </w:p>
    <w:p>
      <w:pPr>
        <w:pStyle w:val="Compact"/>
        <w:numPr>
          <w:ilvl w:val="0"/>
          <w:numId w:val="1018"/>
        </w:numPr>
      </w:pPr>
      <w:r>
        <w:t xml:space="preserve">B2B decelerates but remains in the high teens.</w:t>
      </w:r>
    </w:p>
    <w:p>
      <w:pPr>
        <w:pStyle w:val="Compact"/>
        <w:numPr>
          <w:ilvl w:val="0"/>
          <w:numId w:val="1018"/>
        </w:numPr>
      </w:pPr>
      <w:r>
        <w:t xml:space="preserve">Consumer growth remains healthy.</w:t>
      </w:r>
    </w:p>
    <w:p>
      <w:pPr>
        <w:pStyle w:val="Compact"/>
        <w:numPr>
          <w:ilvl w:val="0"/>
          <w:numId w:val="1018"/>
        </w:numPr>
      </w:pPr>
      <w:r>
        <w:t xml:space="preserve">Full-year revenue guidance rises partly for FX, while margin guidance is moved to the high end or increased modestly.</w:t>
      </w:r>
    </w:p>
    <w:p>
      <w:pPr>
        <w:pStyle w:val="FirstParagraph"/>
      </w:pPr>
      <w:r>
        <w:t xml:space="preserve">This is fundamentally solid, but the stock reaction may be muted given the recent rally.</w:t>
      </w:r>
    </w:p>
    <w:bookmarkEnd w:id="24"/>
    <w:bookmarkStart w:id="25" w:name="bear-case"/>
    <w:p>
      <w:pPr>
        <w:pStyle w:val="Heading3"/>
      </w:pPr>
      <w:r>
        <w:t xml:space="preserve">Bear case</w:t>
      </w:r>
    </w:p>
    <w:p>
      <w:pPr>
        <w:pStyle w:val="Compact"/>
        <w:numPr>
          <w:ilvl w:val="0"/>
          <w:numId w:val="1019"/>
        </w:numPr>
      </w:pPr>
      <w:r>
        <w:t xml:space="preserve">Bookings are supported mainly by ADR and FX while room nights disappoint.</w:t>
      </w:r>
    </w:p>
    <w:p>
      <w:pPr>
        <w:pStyle w:val="Compact"/>
        <w:numPr>
          <w:ilvl w:val="0"/>
          <w:numId w:val="1019"/>
        </w:numPr>
      </w:pPr>
      <w:r>
        <w:t xml:space="preserve">B2B slows sharply.</w:t>
      </w:r>
    </w:p>
    <w:p>
      <w:pPr>
        <w:pStyle w:val="Compact"/>
        <w:numPr>
          <w:ilvl w:val="0"/>
          <w:numId w:val="1019"/>
        </w:numPr>
      </w:pPr>
      <w:r>
        <w:t xml:space="preserve">Consumer growth loses momentum or requires higher marketing spending.</w:t>
      </w:r>
    </w:p>
    <w:p>
      <w:pPr>
        <w:pStyle w:val="Compact"/>
        <w:numPr>
          <w:ilvl w:val="0"/>
          <w:numId w:val="1019"/>
        </w:numPr>
      </w:pPr>
      <w:r>
        <w:t xml:space="preserve">Management reiterates or lowers full-year expectations.</w:t>
      </w:r>
    </w:p>
    <w:p>
      <w:pPr>
        <w:pStyle w:val="Compact"/>
        <w:numPr>
          <w:ilvl w:val="0"/>
          <w:numId w:val="1019"/>
        </w:numPr>
      </w:pPr>
      <w:r>
        <w:t xml:space="preserve">July demand weakens because of airfares, geopolitical disruption or softer consumer spending.</w:t>
      </w:r>
    </w:p>
    <w:p>
      <w:pPr>
        <w:pStyle w:val="FirstParagraph"/>
      </w:pPr>
      <w:r>
        <w:t xml:space="preserve">With the stock at a recent high, this combination could produce a significant negative reaction.</w:t>
      </w:r>
    </w:p>
    <w:bookmarkEnd w:id="25"/>
    <w:bookmarkEnd w:id="26"/>
    <w:bookmarkStart w:id="27" w:name="questions-investors-should-want-answered"/>
    <w:p>
      <w:pPr>
        <w:pStyle w:val="Heading2"/>
      </w:pPr>
      <w:r>
        <w:t xml:space="preserve">Questions investors should want answered</w:t>
      </w:r>
    </w:p>
    <w:p>
      <w:pPr>
        <w:pStyle w:val="Compact"/>
        <w:numPr>
          <w:ilvl w:val="0"/>
          <w:numId w:val="1020"/>
        </w:numPr>
      </w:pPr>
      <w:r>
        <w:t xml:space="preserve">What were room-night and booking trends in April, May, June and July?</w:t>
      </w:r>
    </w:p>
    <w:p>
      <w:pPr>
        <w:pStyle w:val="Compact"/>
        <w:numPr>
          <w:ilvl w:val="0"/>
          <w:numId w:val="1020"/>
        </w:numPr>
      </w:pPr>
      <w:r>
        <w:t xml:space="preserve">How much did Middle East disruption reduce second-quarter bookings and revenue?</w:t>
      </w:r>
    </w:p>
    <w:p>
      <w:pPr>
        <w:pStyle w:val="Compact"/>
        <w:numPr>
          <w:ilvl w:val="0"/>
          <w:numId w:val="1020"/>
        </w:numPr>
      </w:pPr>
      <w:r>
        <w:t xml:space="preserve">What were consumer bookings by brand, particularly Expedia and Vrbo?</w:t>
      </w:r>
    </w:p>
    <w:p>
      <w:pPr>
        <w:pStyle w:val="Compact"/>
        <w:numPr>
          <w:ilvl w:val="0"/>
          <w:numId w:val="1020"/>
        </w:numPr>
      </w:pPr>
      <w:r>
        <w:t xml:space="preserve">How much did partner promotions contribute to B2B and Vrbo growth?</w:t>
      </w:r>
    </w:p>
    <w:p>
      <w:pPr>
        <w:pStyle w:val="Compact"/>
        <w:numPr>
          <w:ilvl w:val="0"/>
          <w:numId w:val="1020"/>
        </w:numPr>
      </w:pPr>
      <w:r>
        <w:t xml:space="preserve">Is B2B growth normalizing because of comparisons, macro pressure or partner behavior?</w:t>
      </w:r>
    </w:p>
    <w:p>
      <w:pPr>
        <w:pStyle w:val="Compact"/>
        <w:numPr>
          <w:ilvl w:val="0"/>
          <w:numId w:val="1020"/>
        </w:numPr>
      </w:pPr>
      <w:r>
        <w:t xml:space="preserve">How much of revenue growth came from FX, ADR, room nights and product mix?</w:t>
      </w:r>
    </w:p>
    <w:p>
      <w:pPr>
        <w:pStyle w:val="Compact"/>
        <w:numPr>
          <w:ilvl w:val="0"/>
          <w:numId w:val="1020"/>
        </w:numPr>
      </w:pPr>
      <w:r>
        <w:t xml:space="preserve">Can consumer marketing expense remain leveraged in the second half?</w:t>
      </w:r>
    </w:p>
    <w:p>
      <w:pPr>
        <w:pStyle w:val="Compact"/>
        <w:numPr>
          <w:ilvl w:val="0"/>
          <w:numId w:val="1020"/>
        </w:numPr>
      </w:pPr>
      <w:r>
        <w:t xml:space="preserve">What incremental costs are being incurred for AI infrastructure and technical hiring?</w:t>
      </w:r>
    </w:p>
    <w:p>
      <w:pPr>
        <w:pStyle w:val="Compact"/>
        <w:numPr>
          <w:ilvl w:val="0"/>
          <w:numId w:val="1020"/>
        </w:numPr>
      </w:pPr>
      <w:r>
        <w:t xml:space="preserve">Has direct traffic remained near two-thirds of bookings despite SEO changes?</w:t>
      </w:r>
    </w:p>
    <w:p>
      <w:pPr>
        <w:pStyle w:val="Compact"/>
        <w:numPr>
          <w:ilvl w:val="0"/>
          <w:numId w:val="1020"/>
        </w:numPr>
      </w:pPr>
      <w:r>
        <w:t xml:space="preserve">How should investors think about buybacks now that the share price is well above the first-quarter repurchase price?</w:t>
      </w:r>
    </w:p>
    <w:bookmarkEnd w:id="27"/>
    <w:bookmarkStart w:id="28" w:name="bottom-line"/>
    <w:p>
      <w:pPr>
        <w:pStyle w:val="Heading2"/>
      </w:pPr>
      <w:r>
        <w:t xml:space="preserve">Bottom line</w:t>
      </w:r>
    </w:p>
    <w:p>
      <w:pPr>
        <w:pStyle w:val="FirstParagraph"/>
      </w:pPr>
      <w:r>
        <w:t xml:space="preserve">Expedia should deliver a healthy second quarter, supported by resilient U.S. domestic travel, favorable FX, continued B2B expansion and strong cost discipline. The main risks are international and long-haul softness, elevated airfares, moderating B2B partner promotions and a difficult expectations setup following the stock's rally.</w:t>
      </w:r>
    </w:p>
    <w:p>
      <w:pPr>
        <w:pStyle w:val="BodyText"/>
      </w:pPr>
      <w:r>
        <w:rPr>
          <w:b/>
          <w:bCs/>
        </w:rPr>
        <w:t xml:space="preserve">The most important issue is not whether Expedia clears the published second-quarter guidance—it is whether the results and updated outlook demonstrate that mid-single-digit room-night growth, high-teens-plus B2B growth and continued margin expansion can persist into the second half.</w:t>
      </w:r>
    </w:p>
    <w:p>
      <w:pPr>
        <w:pStyle w:val="BodyText"/>
      </w:pPr>
      <w:r>
        <w:t xml:space="preserve">A clean beat accompanied by a substantive full-year raise would support the improving execution story. An in-line print with unchanged guidance may be viewed as insufficient.</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2026-08-05T00:57:23Z</dcterms:created>
  <dcterms:modified xsi:type="dcterms:W3CDTF">2026-08-05T00:57:23Z</dcterms:modified>
</cp:coreProperties>
</file>

<file path=docProps/custom.xml><?xml version="1.0" encoding="utf-8"?>
<Properties xmlns="http://schemas.openxmlformats.org/officeDocument/2006/custom-properties" xmlns:vt="http://schemas.openxmlformats.org/officeDocument/2006/docPropsVTypes"/>
</file>