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02f3773d20ef7c0d173224c9d99ab5263a38773"/>
    <w:p>
      <w:pPr>
        <w:pStyle w:val="Heading1"/>
      </w:pPr>
      <w:r>
        <w:t xml:space="preserve">Expedia Group (NASDAQ: EXPE) — Q2 2026 Earnings Preview</w:t>
      </w:r>
    </w:p>
    <w:p>
      <w:pPr>
        <w:pStyle w:val="BlockText"/>
      </w:pPr>
      <w:r>
        <w:rPr>
          <w:b/>
          <w:bCs/>
        </w:rPr>
        <w:t xml:space="preserve">Timing correction:</w:t>
      </w:r>
      <w:r>
        <w:t xml:space="preserve"> </w:t>
      </w:r>
      <w:r>
        <w:t xml:space="preserve">August 5, 2026 is</w:t>
      </w:r>
      <w:r>
        <w:t xml:space="preserve"> </w:t>
      </w:r>
      <w:r>
        <w:rPr>
          <w:b/>
          <w:bCs/>
        </w:rPr>
        <w:t xml:space="preserve">today</w:t>
      </w:r>
      <w:r>
        <w:t xml:space="preserve">, not tomorrow. Expedia is scheduled to release Q2 results</w:t>
      </w:r>
      <w:r>
        <w:t xml:space="preserve"> </w:t>
      </w:r>
      <w:r>
        <w:rPr>
          <w:b/>
          <w:bCs/>
        </w:rPr>
        <w:t xml:space="preserve">after the U.S. market close</w:t>
      </w:r>
      <w:r>
        <w:t xml:space="preserve"> </w:t>
      </w:r>
      <w:r>
        <w:t xml:space="preserve">and host its webcast at</w:t>
      </w:r>
      <w:r>
        <w:t xml:space="preserve"> </w:t>
      </w:r>
      <w:r>
        <w:rPr>
          <w:b/>
          <w:bCs/>
        </w:rPr>
        <w:t xml:space="preserve">4:30 p.m. ET / 1:30 p.m. PT</w:t>
      </w:r>
      <w:r>
        <w:t xml:space="preserve">. (</w:t>
      </w:r>
      <w:hyperlink r:id="rId9">
        <w:r>
          <w:rPr>
            <w:rStyle w:val="Hyperlink"/>
          </w:rPr>
          <w:t xml:space="preserve">ir.expediagroup.com</w:t>
        </w:r>
      </w:hyperlink>
      <w:r>
        <w:t xml:space="preserve">)</w:t>
      </w:r>
    </w:p>
    <w:bookmarkStart w:id="10" w:name="bottom-line"/>
    <w:p>
      <w:pPr>
        <w:pStyle w:val="Heading2"/>
      </w:pPr>
      <w:r>
        <w:t xml:space="preserve">Bottom line</w:t>
      </w:r>
    </w:p>
    <w:p>
      <w:pPr>
        <w:pStyle w:val="FirstParagraph"/>
      </w:pPr>
      <w:r>
        <w:t xml:space="preserve">Expedia enters Q2 with a</w:t>
      </w:r>
      <w:r>
        <w:t xml:space="preserve"> </w:t>
      </w:r>
      <w:r>
        <w:rPr>
          <w:b/>
          <w:bCs/>
        </w:rPr>
        <w:t xml:space="preserve">high but achievable bar</w:t>
      </w:r>
      <w:r>
        <w:t xml:space="preserve">. The company’s Q1 execution was notably strong—particularly in B2C marketing efficiency, B2B growth, and margin delivery—and management’s Q2 framework implies another quarter of double-digit revenue growth and modest margin expansion. The central question is no longer whether Expedia can meet its existing Q2 guide; it is whether demand held up well enough through June and July to support a</w:t>
      </w:r>
      <w:r>
        <w:t xml:space="preserve"> </w:t>
      </w:r>
      <w:r>
        <w:rPr>
          <w:b/>
          <w:bCs/>
        </w:rPr>
        <w:t xml:space="preserve">raise to full-year bookings, revenue, and/or EBITDA-margin guidance</w:t>
      </w:r>
      <w:r>
        <w:t xml:space="preserve">.</w:t>
      </w:r>
    </w:p>
    <w:p>
      <w:pPr>
        <w:pStyle w:val="BodyText"/>
      </w:pPr>
      <w:r>
        <w:t xml:space="preserve">The stock setup looks demanding. EXPE closed at</w:t>
      </w:r>
      <w:r>
        <w:t xml:space="preserve"> </w:t>
      </w:r>
      <w:r>
        <w:rPr>
          <w:b/>
          <w:bCs/>
        </w:rPr>
        <w:t xml:space="preserve">$312.10 on August 4</w:t>
      </w:r>
      <w:r>
        <w:t xml:space="preserve">, up roughly</w:t>
      </w:r>
      <w:r>
        <w:t xml:space="preserve"> </w:t>
      </w:r>
      <w:r>
        <w:rPr>
          <w:b/>
          <w:bCs/>
        </w:rPr>
        <w:t xml:space="preserve">36% from its May 8 post-Q1 close</w:t>
      </w:r>
      <w:r>
        <w:t xml:space="preserve"> </w:t>
      </w:r>
      <w:r>
        <w:t xml:space="preserve">and about</w:t>
      </w:r>
      <w:r>
        <w:t xml:space="preserve"> </w:t>
      </w:r>
      <w:r>
        <w:rPr>
          <w:b/>
          <w:bCs/>
        </w:rPr>
        <w:t xml:space="preserve">20% since July 24</w:t>
      </w:r>
      <w:r>
        <w:t xml:space="preserve">. That means a simple beat is unlikely to be sufficient: investors will want confirmation that Q1’s margin gains are durable, B2B momentum remains healthy, and macro/geopolitical disruptions did not materially impair summer travel demand.</w:t>
      </w:r>
    </w:p>
    <w:bookmarkEnd w:id="10"/>
    <w:bookmarkStart w:id="12" w:name="what-the-market-expects"/>
    <w:p>
      <w:pPr>
        <w:pStyle w:val="Heading2"/>
      </w:pPr>
      <w:r>
        <w:t xml:space="preserve">What the market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company outlook</w:t>
            </w:r>
          </w:p>
        </w:tc>
        <w:tc>
          <w:tcPr/>
          <w:p>
            <w:pPr>
              <w:pStyle w:val="Compact"/>
              <w:jc w:val="right"/>
            </w:pPr>
            <w:r>
              <w:t xml:space="preserve">Street expectation</w:t>
            </w:r>
          </w:p>
        </w:tc>
        <w:tc>
          <w:tcPr/>
          <w:p>
            <w:pPr>
              <w:pStyle w:val="Compact"/>
            </w:pPr>
            <w:r>
              <w:t xml:space="preserve">Read-through</w:t>
            </w:r>
          </w:p>
        </w:tc>
      </w:tr>
      <w:tr>
        <w:tc>
          <w:tcPr/>
          <w:p>
            <w:pPr>
              <w:pStyle w:val="Compact"/>
            </w:pPr>
            <w:r>
              <w:t xml:space="preserve">Gross bookings</w:t>
            </w:r>
          </w:p>
        </w:tc>
        <w:tc>
          <w:tcPr/>
          <w:p>
            <w:pPr>
              <w:pStyle w:val="Compact"/>
              <w:jc w:val="right"/>
            </w:pPr>
            <m:oMath>
              <m:r>
                <m:t>32.5</m:t>
              </m:r>
              <m:r>
                <m:t>B</m:t>
              </m:r>
              <m:r>
                <m:rPr>
                  <m:sty m:val="p"/>
                </m:rPr>
                <m:t>–</m:t>
              </m:r>
            </m:oMath>
            <w:r>
              <w:rPr>
                <w:b/>
                <w:bCs/>
              </w:rPr>
              <w:t xml:space="preserve">33.1B</w:t>
            </w:r>
          </w:p>
        </w:tc>
        <w:tc>
          <w:tcPr/>
          <w:p>
            <w:pPr>
              <w:pStyle w:val="Compact"/>
              <w:jc w:val="right"/>
            </w:pPr>
            <w:r>
              <w:t xml:space="preserve">Not provided in the latest market digest</w:t>
            </w:r>
          </w:p>
        </w:tc>
        <w:tc>
          <w:tcPr/>
          <w:p>
            <w:pPr>
              <w:pStyle w:val="Compact"/>
            </w:pPr>
            <w:r>
              <w:t xml:space="preserve">Implies</w:t>
            </w:r>
            <w:r>
              <w:t xml:space="preserve"> </w:t>
            </w:r>
            <w:r>
              <w:rPr>
                <w:b/>
                <w:bCs/>
              </w:rPr>
              <w:t xml:space="preserve">7%–9% y/y</w:t>
            </w:r>
            <w:r>
              <w:t xml:space="preserve"> </w:t>
            </w:r>
            <w:r>
              <w:t xml:space="preserve">growth</w:t>
            </w:r>
          </w:p>
        </w:tc>
      </w:tr>
      <w:tr>
        <w:tc>
          <w:tcPr/>
          <w:p>
            <w:pPr>
              <w:pStyle w:val="Compact"/>
            </w:pPr>
            <w:r>
              <w:t xml:space="preserve">Revenue</w:t>
            </w:r>
          </w:p>
        </w:tc>
        <w:tc>
          <w:tcPr/>
          <w:p>
            <w:pPr>
              <w:pStyle w:val="Compact"/>
              <w:jc w:val="right"/>
            </w:pPr>
            <m:oMath>
              <m:r>
                <m:t>4.11</m:t>
              </m:r>
              <m:r>
                <m:t>B</m:t>
              </m:r>
              <m:r>
                <m:rPr>
                  <m:sty m:val="p"/>
                </m:rPr>
                <m:t>–</m:t>
              </m:r>
            </m:oMath>
            <w:r>
              <w:rPr>
                <w:b/>
                <w:bCs/>
              </w:rPr>
              <w:t xml:space="preserve">4.19B</w:t>
            </w:r>
          </w:p>
        </w:tc>
        <w:tc>
          <w:tcPr/>
          <w:p>
            <w:pPr>
              <w:pStyle w:val="Compact"/>
              <w:jc w:val="right"/>
            </w:pPr>
            <w:r>
              <w:rPr>
                <w:b/>
                <w:bCs/>
              </w:rPr>
              <w:t xml:space="preserve">$4.169B</w:t>
            </w:r>
          </w:p>
        </w:tc>
        <w:tc>
          <w:tcPr/>
          <w:p>
            <w:pPr>
              <w:pStyle w:val="Compact"/>
            </w:pPr>
            <w:r>
              <w:t xml:space="preserve">Consensus is near the upper half of the guide range</w:t>
            </w:r>
          </w:p>
        </w:tc>
      </w:tr>
      <w:tr>
        <w:tc>
          <w:tcPr/>
          <w:p>
            <w:pPr>
              <w:pStyle w:val="Compact"/>
            </w:pPr>
            <w:r>
              <w:t xml:space="preserve">Adjusted EBITDA margin</w:t>
            </w:r>
          </w:p>
        </w:tc>
        <w:tc>
          <w:tcPr/>
          <w:p>
            <w:pPr>
              <w:pStyle w:val="Compact"/>
              <w:jc w:val="right"/>
            </w:pPr>
            <w:r>
              <w:rPr>
                <w:b/>
                <w:bCs/>
              </w:rPr>
              <w:t xml:space="preserve">+50–100 bps y/y</w:t>
            </w:r>
          </w:p>
        </w:tc>
        <w:tc>
          <w:tcPr/>
          <w:p>
            <w:pPr>
              <w:pStyle w:val="Compact"/>
              <w:jc w:val="right"/>
            </w:pPr>
            <w:r>
              <w:t xml:space="preserve">—</w:t>
            </w:r>
          </w:p>
        </w:tc>
        <w:tc>
          <w:tcPr/>
          <w:p>
            <w:pPr>
              <w:pStyle w:val="Compact"/>
            </w:pPr>
            <w:r>
              <w:t xml:space="preserve">Implies roughly</w:t>
            </w:r>
            <w:r>
              <w:t xml:space="preserve"> </w:t>
            </w:r>
            <w:r>
              <w:rPr>
                <w:b/>
                <w:bCs/>
              </w:rPr>
              <w:t xml:space="preserve">24.5%–25.0%</w:t>
            </w:r>
            <w:r>
              <w:t xml:space="preserve"> </w:t>
            </w:r>
            <w:r>
              <w:t xml:space="preserve">margin</w:t>
            </w:r>
          </w:p>
        </w:tc>
      </w:tr>
      <w:tr>
        <w:tc>
          <w:tcPr/>
          <w:p>
            <w:pPr>
              <w:pStyle w:val="Compact"/>
            </w:pPr>
            <w:r>
              <w:t xml:space="preserve">Adjusted EBITDA</w:t>
            </w:r>
          </w:p>
        </w:tc>
        <w:tc>
          <w:tcPr/>
          <w:p>
            <w:pPr>
              <w:pStyle w:val="Compact"/>
              <w:jc w:val="right"/>
            </w:pPr>
            <w:r>
              <w:t xml:space="preserve">Implied roughly</w:t>
            </w:r>
            <w:r>
              <w:t xml:space="preserve"> </w:t>
            </w:r>
            <m:oMath>
              <m:r>
                <m:t>1.01</m:t>
              </m:r>
              <m:r>
                <m:t>B</m:t>
              </m:r>
              <m:r>
                <m:rPr>
                  <m:sty m:val="p"/>
                </m:rPr>
                <m:t>–</m:t>
              </m:r>
            </m:oMath>
            <w:r>
              <w:rPr>
                <w:b/>
                <w:bCs/>
              </w:rPr>
              <w:t xml:space="preserve">1.05B</w:t>
            </w:r>
          </w:p>
        </w:tc>
        <w:tc>
          <w:tcPr/>
          <w:p>
            <w:pPr>
              <w:pStyle w:val="Compact"/>
              <w:jc w:val="right"/>
            </w:pPr>
            <w:r>
              <w:rPr>
                <w:b/>
                <w:bCs/>
              </w:rPr>
              <w:t xml:space="preserve">$1.036B</w:t>
            </w:r>
          </w:p>
        </w:tc>
        <w:tc>
          <w:tcPr/>
          <w:p>
            <w:pPr>
              <w:pStyle w:val="Compact"/>
            </w:pPr>
            <w:r>
              <w:t xml:space="preserve">Consensus sits within the implied framework</w:t>
            </w:r>
          </w:p>
        </w:tc>
      </w:tr>
      <w:tr>
        <w:tc>
          <w:tcPr/>
          <w:p>
            <w:pPr>
              <w:pStyle w:val="Compact"/>
            </w:pPr>
            <w:r>
              <w:t xml:space="preserve">Adjusted EPS</w:t>
            </w:r>
          </w:p>
        </w:tc>
        <w:tc>
          <w:tcPr/>
          <w:p>
            <w:pPr>
              <w:pStyle w:val="Compact"/>
              <w:jc w:val="right"/>
            </w:pPr>
            <w:r>
              <w:t xml:space="preserve">—</w:t>
            </w:r>
          </w:p>
        </w:tc>
        <w:tc>
          <w:tcPr/>
          <w:p>
            <w:pPr>
              <w:pStyle w:val="Compact"/>
              <w:jc w:val="right"/>
            </w:pPr>
            <w:r>
              <w:rPr>
                <w:b/>
                <w:bCs/>
              </w:rPr>
              <w:t xml:space="preserve">$5.18</w:t>
            </w:r>
          </w:p>
        </w:tc>
        <w:tc>
          <w:tcPr/>
          <w:p>
            <w:pPr>
              <w:pStyle w:val="Compact"/>
            </w:pPr>
            <w:r>
              <w:t xml:space="preserve">Buybacks remain a meaningful per-share tailwind</w:t>
            </w:r>
          </w:p>
        </w:tc>
      </w:tr>
    </w:tbl>
    <w:p>
      <w:pPr>
        <w:pStyle w:val="BodyText"/>
      </w:pPr>
      <w:r>
        <w:t xml:space="preserve">Q1 management commentary called for Q2 revenue growth of 9%–11%, including an approximately</w:t>
      </w:r>
      <w:r>
        <w:t xml:space="preserve"> </w:t>
      </w:r>
      <w:r>
        <w:rPr>
          <w:b/>
          <w:bCs/>
        </w:rPr>
        <w:t xml:space="preserve">four-point FX tailwind</w:t>
      </w:r>
      <w:r>
        <w:t xml:space="preserve">. Thus, reported revenue could look stronger than underlying constant-currency demand. Investors should distinguish between the two. Expedia’s Q1 release reiterated its full-year outlook for</w:t>
      </w:r>
      <w:r>
        <w:t xml:space="preserve"> </w:t>
      </w:r>
      <m:oMath>
        <m:r>
          <m:t>127</m:t>
        </m:r>
        <m:r>
          <m:t>B</m:t>
        </m:r>
        <m:r>
          <m:rPr>
            <m:sty m:val="p"/>
          </m:rPr>
          <m:t>–</m:t>
        </m:r>
      </m:oMath>
      <w:r>
        <w:rPr>
          <w:b/>
          <w:bCs/>
        </w:rPr>
        <w:t xml:space="preserve">129B of gross bookings</w:t>
      </w:r>
      <w:r>
        <w:t xml:space="preserve">,</w:t>
      </w:r>
      <w:r>
        <w:t xml:space="preserve"> </w:t>
      </w:r>
      <m:oMath>
        <m:r>
          <m:t>15.6</m:t>
        </m:r>
        <m:r>
          <m:t>B</m:t>
        </m:r>
        <m:r>
          <m:rPr>
            <m:sty m:val="p"/>
          </m:rPr>
          <m:t>–</m:t>
        </m:r>
      </m:oMath>
      <w:r>
        <w:rPr>
          <w:b/>
          <w:bCs/>
        </w:rPr>
        <w:t xml:space="preserve">16.0B of revenue</w:t>
      </w:r>
      <w:r>
        <w:t xml:space="preserve">, and</w:t>
      </w:r>
      <w:r>
        <w:t xml:space="preserve"> </w:t>
      </w:r>
      <w:r>
        <w:rPr>
          <w:b/>
          <w:bCs/>
        </w:rPr>
        <w:t xml:space="preserve">100–125 bps of adjusted EBITDA-margin expansion</w:t>
      </w:r>
      <w:r>
        <w:t xml:space="preserve">. (</w:t>
      </w:r>
      <w:hyperlink r:id="rId11">
        <w:r>
          <w:rPr>
            <w:rStyle w:val="Hyperlink"/>
          </w:rPr>
          <w:t xml:space="preserve">s202.q4cdn.com</w:t>
        </w:r>
      </w:hyperlink>
      <w:r>
        <w:t xml:space="preserve">)</w:t>
      </w:r>
    </w:p>
    <w:bookmarkEnd w:id="12"/>
    <w:bookmarkStart w:id="18" w:name="why-this-quarter-matters"/>
    <w:p>
      <w:pPr>
        <w:pStyle w:val="Heading2"/>
      </w:pPr>
      <w:r>
        <w:t xml:space="preserve">Why this quarter matters</w:t>
      </w:r>
    </w:p>
    <w:bookmarkStart w:id="13" w:name="X01d634dbfe19185f996cafb9306d900c32c3d0f"/>
    <w:p>
      <w:pPr>
        <w:pStyle w:val="Heading3"/>
      </w:pPr>
      <w:r>
        <w:t xml:space="preserve">1. Full-year guidance is the primary catalyst</w:t>
      </w:r>
    </w:p>
    <w:p>
      <w:pPr>
        <w:pStyle w:val="FirstParagraph"/>
      </w:pPr>
      <w:r>
        <w:t xml:space="preserve">After outperforming in Q1, management said it expected to land toward the</w:t>
      </w:r>
      <w:r>
        <w:t xml:space="preserve"> </w:t>
      </w:r>
      <w:r>
        <w:rPr>
          <w:b/>
          <w:bCs/>
        </w:rPr>
        <w:t xml:space="preserve">high end</w:t>
      </w:r>
      <w:r>
        <w:t xml:space="preserve"> </w:t>
      </w:r>
      <w:r>
        <w:t xml:space="preserve">of its 2026 margin-expansion target, but held its full-year outlook unchanged because of macroeconomic and geopolitical uncertainty.</w:t>
      </w:r>
    </w:p>
    <w:p>
      <w:pPr>
        <w:pStyle w:val="BodyText"/>
      </w:pPr>
      <w:r>
        <w:t xml:space="preserve">A</w:t>
      </w:r>
      <w:r>
        <w:t xml:space="preserve"> </w:t>
      </w:r>
      <w:r>
        <w:rPr>
          <w:b/>
          <w:bCs/>
        </w:rPr>
        <w:t xml:space="preserve">raise</w:t>
      </w:r>
      <w:r>
        <w:t xml:space="preserve"> </w:t>
      </w:r>
      <w:r>
        <w:t xml:space="preserve">would likely require evidence that:</w:t>
      </w:r>
    </w:p>
    <w:p>
      <w:pPr>
        <w:pStyle w:val="Compact"/>
        <w:numPr>
          <w:ilvl w:val="0"/>
          <w:numId w:val="1001"/>
        </w:numPr>
      </w:pPr>
      <w:r>
        <w:t xml:space="preserve">Q2 bookings and revenue land at or above the high end of guidance;</w:t>
      </w:r>
    </w:p>
    <w:p>
      <w:pPr>
        <w:pStyle w:val="Compact"/>
        <w:numPr>
          <w:ilvl w:val="0"/>
          <w:numId w:val="1001"/>
        </w:numPr>
      </w:pPr>
      <w:r>
        <w:t xml:space="preserve">cancellation pressure related to Middle East conflict and Mexico travel advisories continued to normalize;</w:t>
      </w:r>
    </w:p>
    <w:p>
      <w:pPr>
        <w:pStyle w:val="Compact"/>
        <w:numPr>
          <w:ilvl w:val="0"/>
          <w:numId w:val="1001"/>
        </w:numPr>
      </w:pPr>
      <w:r>
        <w:t xml:space="preserve">the company sees no meaningful deterioration in late-quarter or early-Q3 booking trends;</w:t>
      </w:r>
    </w:p>
    <w:p>
      <w:pPr>
        <w:pStyle w:val="Compact"/>
        <w:numPr>
          <w:ilvl w:val="0"/>
          <w:numId w:val="1001"/>
        </w:numPr>
      </w:pPr>
      <w:r>
        <w:t xml:space="preserve">marketing efficiency and operating-cost discipline are holding better than expected.</w:t>
      </w:r>
    </w:p>
    <w:p>
      <w:pPr>
        <w:pStyle w:val="FirstParagraph"/>
      </w:pPr>
      <w:r>
        <w:t xml:space="preserve">Conversely, even an in-line Q2 could disappoint if Expedia merely reiterates full-year targets after the stock’s sharp run.</w:t>
      </w:r>
    </w:p>
    <w:bookmarkEnd w:id="13"/>
    <w:bookmarkStart w:id="14" w:name="X988f5b6cc577f592752738682aeed9c96d96d5a"/>
    <w:p>
      <w:pPr>
        <w:pStyle w:val="Heading3"/>
      </w:pPr>
      <w:r>
        <w:t xml:space="preserve">2. B2B is still the growth engine—but its durability will be tested</w:t>
      </w:r>
    </w:p>
    <w:p>
      <w:pPr>
        <w:pStyle w:val="FirstParagraph"/>
      </w:pPr>
      <w:r>
        <w:t xml:space="preserve">In Q1, B2B gross bookings grew</w:t>
      </w:r>
      <w:r>
        <w:t xml:space="preserve"> </w:t>
      </w:r>
      <w:r>
        <w:rPr>
          <w:b/>
          <w:bCs/>
        </w:rPr>
        <w:t xml:space="preserve">22%</w:t>
      </w:r>
      <w:r>
        <w:t xml:space="preserve"> </w:t>
      </w:r>
      <w:r>
        <w:t xml:space="preserve">and revenue grew</w:t>
      </w:r>
      <w:r>
        <w:t xml:space="preserve"> </w:t>
      </w:r>
      <w:r>
        <w:rPr>
          <w:b/>
          <w:bCs/>
        </w:rPr>
        <w:t xml:space="preserve">25%</w:t>
      </w:r>
      <w:r>
        <w:t xml:space="preserve">, led by Rapid API, broad international growth, and partner activity. Expedia also announced an exclusive hotel partnership with Uber and an AIR MILES partnership in Canada, reinforcing the strategic appeal of its supply, technology, and distribution network.</w:t>
      </w:r>
    </w:p>
    <w:p>
      <w:pPr>
        <w:pStyle w:val="BodyText"/>
      </w:pPr>
      <w:r>
        <w:t xml:space="preserve">The caveat is that management had already flagged moderating promotional intensity from some large B2B partners and noted that B2B was more exposed than B2C to international cancellations in Europe and Asia. For Q2, investors should focus on:</w:t>
      </w:r>
    </w:p>
    <w:p>
      <w:pPr>
        <w:pStyle w:val="Compact"/>
        <w:numPr>
          <w:ilvl w:val="0"/>
          <w:numId w:val="1002"/>
        </w:numPr>
      </w:pPr>
      <w:r>
        <w:t xml:space="preserve">B2B bookings growth versus the 22% Q1 pace;</w:t>
      </w:r>
    </w:p>
    <w:p>
      <w:pPr>
        <w:pStyle w:val="Compact"/>
        <w:numPr>
          <w:ilvl w:val="0"/>
          <w:numId w:val="1002"/>
        </w:numPr>
      </w:pPr>
      <w:r>
        <w:t xml:space="preserve">commentary around Rapid API, Travel Agent Affiliate Program, and white-label/template businesses;</w:t>
      </w:r>
    </w:p>
    <w:p>
      <w:pPr>
        <w:pStyle w:val="Compact"/>
        <w:numPr>
          <w:ilvl w:val="0"/>
          <w:numId w:val="1002"/>
        </w:numPr>
      </w:pPr>
      <w:r>
        <w:t xml:space="preserve">traction from newer distribution partnerships;</w:t>
      </w:r>
    </w:p>
    <w:p>
      <w:pPr>
        <w:pStyle w:val="Compact"/>
        <w:numPr>
          <w:ilvl w:val="0"/>
          <w:numId w:val="1002"/>
        </w:numPr>
      </w:pPr>
      <w:r>
        <w:t xml:space="preserve">whether B2B investment is still weighing on segment margins.</w:t>
      </w:r>
    </w:p>
    <w:p>
      <w:pPr>
        <w:pStyle w:val="FirstParagraph"/>
      </w:pPr>
      <w:r>
        <w:t xml:space="preserve">A healthy B2B print would reinforce the thesis that Expedia’s platform strategy can generate structurally faster growth than its consumer-facing brands.</w:t>
      </w:r>
    </w:p>
    <w:bookmarkEnd w:id="14"/>
    <w:bookmarkStart w:id="15" w:name="X6650e2c20a6c291d0548ca7f24ef362dda0044d"/>
    <w:p>
      <w:pPr>
        <w:pStyle w:val="Heading3"/>
      </w:pPr>
      <w:r>
        <w:t xml:space="preserve">3. The key proof point in B2C is profitable growth</w:t>
      </w:r>
    </w:p>
    <w:p>
      <w:pPr>
        <w:pStyle w:val="FirstParagraph"/>
      </w:pPr>
      <w:r>
        <w:t xml:space="preserve">Q1 B2C gross bookings grew</w:t>
      </w:r>
      <w:r>
        <w:t xml:space="preserve"> </w:t>
      </w:r>
      <w:r>
        <w:rPr>
          <w:b/>
          <w:bCs/>
        </w:rPr>
        <w:t xml:space="preserve">10%</w:t>
      </w:r>
      <w:r>
        <w:t xml:space="preserve">, its fastest non-pandemic growth rate in years, while B2C direct marketing expense declined</w:t>
      </w:r>
      <w:r>
        <w:t xml:space="preserve"> </w:t>
      </w:r>
      <w:r>
        <w:rPr>
          <w:b/>
          <w:bCs/>
        </w:rPr>
        <w:t xml:space="preserve">7%</w:t>
      </w:r>
      <w:r>
        <w:t xml:space="preserve">. This produced substantial B2C EBITDA-margin expansion.</w:t>
      </w:r>
    </w:p>
    <w:p>
      <w:pPr>
        <w:pStyle w:val="BodyText"/>
      </w:pPr>
      <w:r>
        <w:t xml:space="preserve">The underlying drivers were better targeting, measurement, channel allocation, supplier-funded promotions, and improvements at Brand Expedia and Vrbo. Expedia reported that supplier-funded promotions represented more than one-third of Vrbo bookings in Q1, while the Expedia vacation-rental business reached a $1 billion annualized gross-bookings run rate.</w:t>
      </w:r>
    </w:p>
    <w:p>
      <w:pPr>
        <w:pStyle w:val="BodyText"/>
      </w:pPr>
      <w:r>
        <w:t xml:space="preserve">For Q2, the market will want to see whether Expedia can maintain a favorable mix of:</w:t>
      </w:r>
    </w:p>
    <w:p>
      <w:pPr>
        <w:pStyle w:val="Compact"/>
        <w:numPr>
          <w:ilvl w:val="0"/>
          <w:numId w:val="1003"/>
        </w:numPr>
      </w:pPr>
      <w:r>
        <w:t xml:space="preserve">room-night growth;</w:t>
      </w:r>
    </w:p>
    <w:p>
      <w:pPr>
        <w:pStyle w:val="Compact"/>
        <w:numPr>
          <w:ilvl w:val="0"/>
          <w:numId w:val="1003"/>
        </w:numPr>
      </w:pPr>
      <w:r>
        <w:t xml:space="preserve">ADR growth;</w:t>
      </w:r>
    </w:p>
    <w:p>
      <w:pPr>
        <w:pStyle w:val="Compact"/>
        <w:numPr>
          <w:ilvl w:val="0"/>
          <w:numId w:val="1003"/>
        </w:numPr>
      </w:pPr>
      <w:r>
        <w:t xml:space="preserve">improved conversion and repeat behavior;</w:t>
      </w:r>
    </w:p>
    <w:p>
      <w:pPr>
        <w:pStyle w:val="Compact"/>
        <w:numPr>
          <w:ilvl w:val="0"/>
          <w:numId w:val="1003"/>
        </w:numPr>
      </w:pPr>
      <w:r>
        <w:t xml:space="preserve">lower customer-acquisition cost; and</w:t>
      </w:r>
    </w:p>
    <w:p>
      <w:pPr>
        <w:pStyle w:val="Compact"/>
        <w:numPr>
          <w:ilvl w:val="0"/>
          <w:numId w:val="1003"/>
        </w:numPr>
      </w:pPr>
      <w:r>
        <w:t xml:space="preserve">disciplined promotional spending.</w:t>
      </w:r>
    </w:p>
    <w:p>
      <w:pPr>
        <w:pStyle w:val="FirstParagraph"/>
      </w:pPr>
      <w:r>
        <w:t xml:space="preserve">The most important risk is that the exceptional marketing leverage becomes harder to repeat as the company laps prior reductions in consumer marketing spend during the second half.</w:t>
      </w:r>
    </w:p>
    <w:bookmarkEnd w:id="15"/>
    <w:bookmarkStart w:id="17" w:name="Xf494b5aa9330617364d0bb401495bb716a21389"/>
    <w:p>
      <w:pPr>
        <w:pStyle w:val="Heading3"/>
      </w:pPr>
      <w:r>
        <w:t xml:space="preserve">4. Margins remain the differentiator</w:t>
      </w:r>
    </w:p>
    <w:p>
      <w:pPr>
        <w:pStyle w:val="FirstParagraph"/>
      </w:pPr>
      <w:r>
        <w:t xml:space="preserve">Q1 adjusted EBITDA rose</w:t>
      </w:r>
      <w:r>
        <w:t xml:space="preserve"> </w:t>
      </w:r>
      <w:r>
        <w:rPr>
          <w:b/>
          <w:bCs/>
        </w:rPr>
        <w:t xml:space="preserve">83%</w:t>
      </w:r>
      <w:r>
        <w:t xml:space="preserve"> </w:t>
      </w:r>
      <w:r>
        <w:t xml:space="preserve">to</w:t>
      </w:r>
      <w:r>
        <w:t xml:space="preserve"> </w:t>
      </w:r>
      <w:r>
        <w:rPr>
          <w:b/>
          <w:bCs/>
        </w:rPr>
        <w:t xml:space="preserve">$542 million</w:t>
      </w:r>
      <w:r>
        <w:t xml:space="preserve">, with margin expanding</w:t>
      </w:r>
      <w:r>
        <w:t xml:space="preserve"> </w:t>
      </w:r>
      <w:r>
        <w:rPr>
          <w:b/>
          <w:bCs/>
        </w:rPr>
        <w:t xml:space="preserve">591 bps</w:t>
      </w:r>
      <w:r>
        <w:t xml:space="preserve"> </w:t>
      </w:r>
      <w:r>
        <w:t xml:space="preserve">to</w:t>
      </w:r>
      <w:r>
        <w:t xml:space="preserve"> </w:t>
      </w:r>
      <w:r>
        <w:rPr>
          <w:b/>
          <w:bCs/>
        </w:rPr>
        <w:t xml:space="preserve">15.8%</w:t>
      </w:r>
      <w:r>
        <w:t xml:space="preserve">. While Q1 is seasonally lower-margin, the result demonstrated meaningful operating leverage from cost reduction, marketing productivity, payment efficiencies, and customer-service automation. (</w:t>
      </w:r>
      <w:hyperlink r:id="rId16">
        <w:r>
          <w:rPr>
            <w:rStyle w:val="Hyperlink"/>
          </w:rPr>
          <w:t xml:space="preserve">ir.expediagroup.com</w:t>
        </w:r>
      </w:hyperlink>
      <w:r>
        <w:t xml:space="preserve">)</w:t>
      </w:r>
    </w:p>
    <w:p>
      <w:pPr>
        <w:pStyle w:val="BodyText"/>
      </w:pPr>
      <w:r>
        <w:t xml:space="preserve">The Q2 margin guide is more modest—up 50–100 bps year over year—because Expedia is beginning to lap easier cost and marketing comparisons. A result around or above the implied $1.04 billion EBITDA level would be constructive, but investors will care more about the components:</w:t>
      </w:r>
    </w:p>
    <w:p>
      <w:pPr>
        <w:pStyle w:val="Compact"/>
        <w:numPr>
          <w:ilvl w:val="0"/>
          <w:numId w:val="1004"/>
        </w:numPr>
      </w:pPr>
      <w:r>
        <w:t xml:space="preserve">Is B2C marketing still leveraging?</w:t>
      </w:r>
    </w:p>
    <w:p>
      <w:pPr>
        <w:pStyle w:val="Compact"/>
        <w:numPr>
          <w:ilvl w:val="0"/>
          <w:numId w:val="1004"/>
        </w:numPr>
      </w:pPr>
      <w:r>
        <w:t xml:space="preserve">Are B2B commissions scaling appropriately with revenue?</w:t>
      </w:r>
    </w:p>
    <w:p>
      <w:pPr>
        <w:pStyle w:val="Compact"/>
        <w:numPr>
          <w:ilvl w:val="0"/>
          <w:numId w:val="1004"/>
        </w:numPr>
      </w:pPr>
      <w:r>
        <w:t xml:space="preserve">Are AI, cloud, and product investments beginning to pressure technology costs?</w:t>
      </w:r>
    </w:p>
    <w:p>
      <w:pPr>
        <w:pStyle w:val="Compact"/>
        <w:numPr>
          <w:ilvl w:val="0"/>
          <w:numId w:val="1004"/>
        </w:numPr>
      </w:pPr>
      <w:r>
        <w:t xml:space="preserve">Does management still view the 100–125 bps full-year margin-expansion goal as conservative?</w:t>
      </w:r>
    </w:p>
    <w:bookmarkEnd w:id="17"/>
    <w:bookmarkEnd w:id="18"/>
    <w:bookmarkStart w:id="19" w:name="X4c862beb3bd80267d96006292424cfad2c91f3f"/>
    <w:p>
      <w:pPr>
        <w:pStyle w:val="Heading2"/>
      </w:pPr>
      <w:r>
        <w:t xml:space="preserve">The demand backdrop: better than feared, but not risk-free</w:t>
      </w:r>
    </w:p>
    <w:p>
      <w:pPr>
        <w:pStyle w:val="FirstParagraph"/>
      </w:pPr>
      <w:r>
        <w:t xml:space="preserve">Q1 began with strong January–February travel trends, then softened in March as cancellations increased amid Mexico travel advisories and Middle East conflict. Expedia said those factors reduced Q1 bookings and room-night growth by roughly two points, with cancellation rates stabilizing and bookings improving in April.</w:t>
      </w:r>
    </w:p>
    <w:p>
      <w:pPr>
        <w:pStyle w:val="BodyText"/>
      </w:pPr>
      <w:r>
        <w:t xml:space="preserve">The company’s Q2 outlook therefore already embedded some residual uncertainty. The crucial update will be whether June and July demand strengthened enough to offset those disruptions—or whether elevated energy prices, geopolitical uncertainty, or consumer caution led to a more conservative second-half outlook.</w:t>
      </w:r>
    </w:p>
    <w:p>
      <w:pPr>
        <w:pStyle w:val="BodyText"/>
      </w:pPr>
      <w:r>
        <w:t xml:space="preserve">Expedia’s business mix provides some insulation: U.S. domestic consumer demand had remained resilient, high-end customers were holding up, and more price-sensitive consumers were still engaging with value-oriented travel offers. But the company remains exposed to discretionary-travel demand and cross-border travel volatility.</w:t>
      </w:r>
    </w:p>
    <w:bookmarkEnd w:id="19"/>
    <w:bookmarkStart w:id="20" w:name="Xcefb2b76d1113dc3198d9b2952dcf7695205ee1"/>
    <w:p>
      <w:pPr>
        <w:pStyle w:val="Heading2"/>
      </w:pPr>
      <w:r>
        <w:t xml:space="preserve">AI: strategic upside, near-term narrative risk</w:t>
      </w:r>
    </w:p>
    <w:p>
      <w:pPr>
        <w:pStyle w:val="FirstParagraph"/>
      </w:pPr>
      <w:r>
        <w:t xml:space="preserve">Expedia is increasingly using AI in personalization, search and ranking, traveler service, content enrichment, marketing optimization, and supply onboarding. Management said AI-powered tools were generating meaningful marketing productivity and operational benefits, while AI-driven traffic channels remained small but fast-growing.</w:t>
      </w:r>
    </w:p>
    <w:p>
      <w:pPr>
        <w:pStyle w:val="BodyText"/>
      </w:pPr>
      <w:r>
        <w:t xml:space="preserve">The investment debate has two sides:</w:t>
      </w:r>
    </w:p>
    <w:p>
      <w:pPr>
        <w:pStyle w:val="Compact"/>
        <w:numPr>
          <w:ilvl w:val="0"/>
          <w:numId w:val="1005"/>
        </w:numPr>
      </w:pPr>
      <w:r>
        <w:rPr>
          <w:b/>
          <w:bCs/>
        </w:rPr>
        <w:t xml:space="preserve">Bull case:</w:t>
      </w:r>
      <w:r>
        <w:t xml:space="preserve"> </w:t>
      </w:r>
      <w:r>
        <w:t xml:space="preserve">Expedia’s proprietary traveler data, supply scale, payments infrastructure, and servicing capabilities make it a natural beneficiary as AI improves discovery and conversion.</w:t>
      </w:r>
    </w:p>
    <w:p>
      <w:pPr>
        <w:pStyle w:val="Compact"/>
        <w:numPr>
          <w:ilvl w:val="0"/>
          <w:numId w:val="1005"/>
        </w:numPr>
      </w:pPr>
      <w:r>
        <w:rPr>
          <w:b/>
          <w:bCs/>
        </w:rPr>
        <w:t xml:space="preserve">Bear case:</w:t>
      </w:r>
      <w:r>
        <w:t xml:space="preserve"> </w:t>
      </w:r>
      <w:r>
        <w:t xml:space="preserve">Generative-AI interfaces could eventually disintermediate traditional travel-search and OTA traffic, potentially raising customer-acquisition risk.</w:t>
      </w:r>
    </w:p>
    <w:p>
      <w:pPr>
        <w:pStyle w:val="FirstParagraph"/>
      </w:pPr>
      <w:r>
        <w:t xml:space="preserve">Management’s view is that AI may become an important discovery layer, but trusted scaled platforms will remain essential for complex booking, payments, changes, and servicing. That argument will be more credible if Expedia can show continued conversion improvement, lower service costs, and growing direct/repeat traffic.</w:t>
      </w:r>
    </w:p>
    <w:bookmarkEnd w:id="20"/>
    <w:bookmarkStart w:id="21" w:name="capital-allocation-remains-a-support"/>
    <w:p>
      <w:pPr>
        <w:pStyle w:val="Heading2"/>
      </w:pPr>
      <w:r>
        <w:t xml:space="preserve">Capital allocation remains a support</w:t>
      </w:r>
    </w:p>
    <w:p>
      <w:pPr>
        <w:pStyle w:val="FirstParagraph"/>
      </w:pPr>
      <w:r>
        <w:t xml:space="preserve">Expedia entered Q2 with significant liquidity and continued capital-return capacity. In Q1, it repurchased</w:t>
      </w:r>
      <w:r>
        <w:t xml:space="preserve"> </w:t>
      </w:r>
      <m:oMath>
        <m:r>
          <m:t>700</m:t>
        </m:r>
        <m:r>
          <m:t>m</m:t>
        </m:r>
        <m:r>
          <m:t>i</m:t>
        </m:r>
        <m:r>
          <m:t>l</m:t>
        </m:r>
        <m:r>
          <m:t>l</m:t>
        </m:r>
        <m:r>
          <m:t>i</m:t>
        </m:r>
        <m:r>
          <m:t>o</m:t>
        </m:r>
        <m:r>
          <m:t>n</m:t>
        </m:r>
        <m:r>
          <m:rPr>
            <m:sty m:val="p"/>
          </m:rPr>
          <m:t>*</m:t>
        </m:r>
        <m:r>
          <m:rPr>
            <m:sty m:val="p"/>
          </m:rPr>
          <m:t>*</m:t>
        </m:r>
        <m:r>
          <m:t>o</m:t>
        </m:r>
        <m:r>
          <m:t>f</m:t>
        </m:r>
        <m:r>
          <m:t>s</m:t>
        </m:r>
        <m:r>
          <m:t>t</m:t>
        </m:r>
        <m:r>
          <m:t>o</m:t>
        </m:r>
        <m:r>
          <m:t>c</m:t>
        </m:r>
        <m:r>
          <m:t>k</m:t>
        </m:r>
        <m:r>
          <m:rPr>
            <m:sty m:val="p"/>
          </m:rPr>
          <m:t>,</m:t>
        </m:r>
        <m:r>
          <m:t>a</m:t>
        </m:r>
        <m:r>
          <m:t>n</m:t>
        </m:r>
        <m:r>
          <m:t>d</m:t>
        </m:r>
        <m:r>
          <m:t>i</m:t>
        </m:r>
        <m:r>
          <m:t>t</m:t>
        </m:r>
        <m:r>
          <m:t>a</m:t>
        </m:r>
        <m:r>
          <m:t>u</m:t>
        </m:r>
        <m:r>
          <m:t>t</m:t>
        </m:r>
        <m:r>
          <m:t>h</m:t>
        </m:r>
        <m:r>
          <m:t>o</m:t>
        </m:r>
        <m:r>
          <m:t>r</m:t>
        </m:r>
        <m:r>
          <m:t>i</m:t>
        </m:r>
        <m:r>
          <m:t>z</m:t>
        </m:r>
        <m:r>
          <m:t>e</m:t>
        </m:r>
        <m:r>
          <m:t>d</m:t>
        </m:r>
        <m:r>
          <m:t>a</m:t>
        </m:r>
        <m:r>
          <m:t>n</m:t>
        </m:r>
        <m:r>
          <m:t>e</m:t>
        </m:r>
        <m:r>
          <m:t>w</m:t>
        </m:r>
        <m:r>
          <m:rPr>
            <m:sty m:val="p"/>
          </m:rPr>
          <m:t>*</m:t>
        </m:r>
        <m:r>
          <m:rPr>
            <m:sty m:val="p"/>
          </m:rPr>
          <m:t>*</m:t>
        </m:r>
      </m:oMath>
      <w:r>
        <w:rPr>
          <w:b/>
          <w:bCs/>
        </w:rPr>
        <w:t xml:space="preserve">5 billion</w:t>
      </w:r>
      <w:r>
        <w:t xml:space="preserve"> </w:t>
      </w:r>
      <w:r>
        <w:t xml:space="preserve">repurchase program. The company also pays a quarterly dividend of</w:t>
      </w:r>
      <w:r>
        <w:t xml:space="preserve"> </w:t>
      </w:r>
      <w:r>
        <w:rPr>
          <w:b/>
          <w:bCs/>
        </w:rPr>
        <w:t xml:space="preserve">$0.48 per share</w:t>
      </w:r>
      <w:r>
        <w:t xml:space="preserve">.</w:t>
      </w:r>
    </w:p>
    <w:p>
      <w:pPr>
        <w:pStyle w:val="BodyText"/>
      </w:pPr>
      <w:r>
        <w:t xml:space="preserve">The share count has already declined materially over the past several years, which supports adjusted EPS growth. Investors should watch for the pace of Q2 repurchases, particularly given the stock’s move higher, and whether management remains committed to an investment-grade balance sheet while balancing debt, dividends, buybacks, AI investment, and B2B expansion.</w:t>
      </w:r>
    </w:p>
    <w:bookmarkEnd w:id="21"/>
    <w:bookmarkStart w:id="22" w:name="earnings-call-questions-that-matter"/>
    <w:p>
      <w:pPr>
        <w:pStyle w:val="Heading2"/>
      </w:pPr>
      <w:r>
        <w:t xml:space="preserve">Earnings-call questions that matter</w:t>
      </w:r>
    </w:p>
    <w:p>
      <w:pPr>
        <w:numPr>
          <w:ilvl w:val="0"/>
          <w:numId w:val="1006"/>
        </w:numPr>
      </w:pPr>
      <w:r>
        <w:rPr>
          <w:b/>
          <w:bCs/>
        </w:rPr>
        <w:t xml:space="preserve">How did bookings progress through June and July?</w:t>
      </w:r>
      <w:r>
        <w:br/>
      </w:r>
      <w:r>
        <w:t xml:space="preserve">The most valuable datapoint will be management’s latest view on cancellation rates, booking windows, and early Q3 demand.</w:t>
      </w:r>
    </w:p>
    <w:p>
      <w:pPr>
        <w:numPr>
          <w:ilvl w:val="0"/>
          <w:numId w:val="1006"/>
        </w:numPr>
      </w:pPr>
      <w:r>
        <w:rPr>
          <w:b/>
          <w:bCs/>
        </w:rPr>
        <w:t xml:space="preserve">Will full-year guidance rise?</w:t>
      </w:r>
      <w:r>
        <w:br/>
      </w:r>
      <w:r>
        <w:t xml:space="preserve">Specifically: gross bookings, revenue, and adjusted EBITDA-margin expansion.</w:t>
      </w:r>
    </w:p>
    <w:p>
      <w:pPr>
        <w:numPr>
          <w:ilvl w:val="0"/>
          <w:numId w:val="1006"/>
        </w:numPr>
      </w:pPr>
      <w:r>
        <w:rPr>
          <w:b/>
          <w:bCs/>
        </w:rPr>
        <w:t xml:space="preserve">Can B2B remain a double-digit grower?</w:t>
      </w:r>
      <w:r>
        <w:br/>
      </w:r>
      <w:r>
        <w:t xml:space="preserve">Investors need clarity on partner promotional activity, the Uber rollout, Rapid API trends, and international demand.</w:t>
      </w:r>
    </w:p>
    <w:p>
      <w:pPr>
        <w:numPr>
          <w:ilvl w:val="0"/>
          <w:numId w:val="1006"/>
        </w:numPr>
      </w:pPr>
      <w:r>
        <w:rPr>
          <w:b/>
          <w:bCs/>
        </w:rPr>
        <w:t xml:space="preserve">How durable is B2C marketing leverage?</w:t>
      </w:r>
      <w:r>
        <w:br/>
      </w:r>
      <w:r>
        <w:t xml:space="preserve">Management has said second-half leverage should moderate. The issue is whether it moderates gradually or reverses.</w:t>
      </w:r>
    </w:p>
    <w:p>
      <w:pPr>
        <w:numPr>
          <w:ilvl w:val="0"/>
          <w:numId w:val="1006"/>
        </w:numPr>
      </w:pPr>
      <w:r>
        <w:rPr>
          <w:b/>
          <w:bCs/>
        </w:rPr>
        <w:t xml:space="preserve">What is the incremental cost of AI?</w:t>
      </w:r>
      <w:r>
        <w:br/>
      </w:r>
      <w:r>
        <w:t xml:space="preserve">Expedia has signaled rising token, engineering, and talent costs, but also productivity benefits. The cadence of net margin impact matters.</w:t>
      </w:r>
    </w:p>
    <w:p>
      <w:pPr>
        <w:numPr>
          <w:ilvl w:val="0"/>
          <w:numId w:val="1006"/>
        </w:numPr>
      </w:pPr>
      <w:r>
        <w:rPr>
          <w:b/>
          <w:bCs/>
        </w:rPr>
        <w:t xml:space="preserve">How much of Q2 growth is FX?</w:t>
      </w:r>
      <w:r>
        <w:br/>
      </w:r>
      <w:r>
        <w:t xml:space="preserve">With revenue guidance including an estimated four-point FX benefit, constant-currency growth and Q3 FX assumptions will be important.</w:t>
      </w:r>
    </w:p>
    <w:bookmarkEnd w:id="22"/>
    <w:bookmarkStart w:id="26" w:name="scenario-framework"/>
    <w:p>
      <w:pPr>
        <w:pStyle w:val="Heading2"/>
      </w:pPr>
      <w:r>
        <w:t xml:space="preserve">Scenario framework</w:t>
      </w:r>
    </w:p>
    <w:bookmarkStart w:id="23" w:name="bullish-outcome"/>
    <w:p>
      <w:pPr>
        <w:pStyle w:val="Heading3"/>
      </w:pPr>
      <w:r>
        <w:t xml:space="preserve">Bullish outcome</w:t>
      </w:r>
    </w:p>
    <w:p>
      <w:pPr>
        <w:pStyle w:val="Compact"/>
        <w:numPr>
          <w:ilvl w:val="0"/>
          <w:numId w:val="1007"/>
        </w:numPr>
      </w:pPr>
      <w:r>
        <w:t xml:space="preserve">Revenue at or above the high end of the</w:t>
      </w:r>
      <w:r>
        <w:t xml:space="preserve"> </w:t>
      </w:r>
      <m:oMath>
        <m:r>
          <m:t>4.11</m:t>
        </m:r>
        <m:r>
          <m:t>B</m:t>
        </m:r>
        <m:r>
          <m:rPr>
            <m:sty m:val="p"/>
          </m:rPr>
          <m:t>–</m:t>
        </m:r>
      </m:oMath>
      <w:r>
        <w:t xml:space="preserve">4.19B range;</w:t>
      </w:r>
    </w:p>
    <w:p>
      <w:pPr>
        <w:pStyle w:val="Compact"/>
        <w:numPr>
          <w:ilvl w:val="0"/>
          <w:numId w:val="1007"/>
        </w:numPr>
      </w:pPr>
      <w:r>
        <w:t xml:space="preserve">EBITDA above consensus and margin expansion toward or above 100 bps;</w:t>
      </w:r>
    </w:p>
    <w:p>
      <w:pPr>
        <w:pStyle w:val="Compact"/>
        <w:numPr>
          <w:ilvl w:val="0"/>
          <w:numId w:val="1007"/>
        </w:numPr>
      </w:pPr>
      <w:r>
        <w:t xml:space="preserve">strong B2B growth, with no material deterioration in consumer bookings;</w:t>
      </w:r>
    </w:p>
    <w:p>
      <w:pPr>
        <w:pStyle w:val="Compact"/>
        <w:numPr>
          <w:ilvl w:val="0"/>
          <w:numId w:val="1007"/>
        </w:numPr>
      </w:pPr>
      <w:r>
        <w:t xml:space="preserve">full-year revenue and/or margin outlook raised;</w:t>
      </w:r>
    </w:p>
    <w:p>
      <w:pPr>
        <w:pStyle w:val="Compact"/>
        <w:numPr>
          <w:ilvl w:val="0"/>
          <w:numId w:val="1007"/>
        </w:numPr>
      </w:pPr>
      <w:r>
        <w:t xml:space="preserve">constructive Q3 demand commentary.</w:t>
      </w:r>
    </w:p>
    <w:bookmarkEnd w:id="23"/>
    <w:bookmarkStart w:id="24" w:name="neutral-outcome"/>
    <w:p>
      <w:pPr>
        <w:pStyle w:val="Heading3"/>
      </w:pPr>
      <w:r>
        <w:t xml:space="preserve">Neutral outcome</w:t>
      </w:r>
    </w:p>
    <w:p>
      <w:pPr>
        <w:pStyle w:val="Compact"/>
        <w:numPr>
          <w:ilvl w:val="0"/>
          <w:numId w:val="1008"/>
        </w:numPr>
      </w:pPr>
      <w:r>
        <w:t xml:space="preserve">Revenue and EBITDA broadly meet consensus;</w:t>
      </w:r>
    </w:p>
    <w:p>
      <w:pPr>
        <w:pStyle w:val="Compact"/>
        <w:numPr>
          <w:ilvl w:val="0"/>
          <w:numId w:val="1008"/>
        </w:numPr>
      </w:pPr>
      <w:r>
        <w:t xml:space="preserve">Q2 guide is achieved but full-year guidance is maintained;</w:t>
      </w:r>
    </w:p>
    <w:p>
      <w:pPr>
        <w:pStyle w:val="Compact"/>
        <w:numPr>
          <w:ilvl w:val="0"/>
          <w:numId w:val="1008"/>
        </w:numPr>
      </w:pPr>
      <w:r>
        <w:t xml:space="preserve">management emphasizes normalizing marketing leverage and continued macro uncertainty;</w:t>
      </w:r>
    </w:p>
    <w:p>
      <w:pPr>
        <w:pStyle w:val="Compact"/>
        <w:numPr>
          <w:ilvl w:val="0"/>
          <w:numId w:val="1008"/>
        </w:numPr>
      </w:pPr>
      <w:r>
        <w:t xml:space="preserve">stock reaction may be muted to negative given the recent rally.</w:t>
      </w:r>
    </w:p>
    <w:bookmarkEnd w:id="24"/>
    <w:bookmarkStart w:id="25" w:name="bearish-outcome"/>
    <w:p>
      <w:pPr>
        <w:pStyle w:val="Heading3"/>
      </w:pPr>
      <w:r>
        <w:t xml:space="preserve">Bearish outcome</w:t>
      </w:r>
    </w:p>
    <w:p>
      <w:pPr>
        <w:pStyle w:val="Compact"/>
        <w:numPr>
          <w:ilvl w:val="0"/>
          <w:numId w:val="1009"/>
        </w:numPr>
      </w:pPr>
      <w:r>
        <w:t xml:space="preserve">Bookings or revenue land below the range;</w:t>
      </w:r>
    </w:p>
    <w:p>
      <w:pPr>
        <w:pStyle w:val="Compact"/>
        <w:numPr>
          <w:ilvl w:val="0"/>
          <w:numId w:val="1009"/>
        </w:numPr>
      </w:pPr>
      <w:r>
        <w:t xml:space="preserve">B2B growth slows sharply or international cancellations reaccelerate;</w:t>
      </w:r>
    </w:p>
    <w:p>
      <w:pPr>
        <w:pStyle w:val="Compact"/>
        <w:numPr>
          <w:ilvl w:val="0"/>
          <w:numId w:val="1009"/>
        </w:numPr>
      </w:pPr>
      <w:r>
        <w:t xml:space="preserve">marketing, AI, or other operating costs pressure margins;</w:t>
      </w:r>
    </w:p>
    <w:p>
      <w:pPr>
        <w:pStyle w:val="Compact"/>
        <w:numPr>
          <w:ilvl w:val="0"/>
          <w:numId w:val="1009"/>
        </w:numPr>
      </w:pPr>
      <w:r>
        <w:t xml:space="preserve">full-year outlook is reiterated cautiously or reduced.</w:t>
      </w:r>
    </w:p>
    <w:bookmarkEnd w:id="25"/>
    <w:bookmarkEnd w:id="26"/>
    <w:bookmarkStart w:id="27" w:name="investment-view-into-the-print"/>
    <w:p>
      <w:pPr>
        <w:pStyle w:val="Heading2"/>
      </w:pPr>
      <w:r>
        <w:t xml:space="preserve">Investment view into the print</w:t>
      </w:r>
    </w:p>
    <w:p>
      <w:pPr>
        <w:pStyle w:val="FirstParagraph"/>
      </w:pPr>
      <w:r>
        <w:rPr>
          <w:b/>
          <w:bCs/>
        </w:rPr>
        <w:t xml:space="preserve">The operating setup is favorable; the trading setup is less forgiving.</w:t>
      </w:r>
      <w:r>
        <w:t xml:space="preserve"> </w:t>
      </w:r>
      <w:r>
        <w:t xml:space="preserve">Expedia has established a credible formula of profitable B2C growth, fast-growing B2B distribution, disciplined capital allocation, and improving operating efficiency. Q2 consensus appears attainable against company guidance, but the recent stock appreciation means the market is likely pricing in a beat-and-raise outcome.</w:t>
      </w:r>
    </w:p>
    <w:p>
      <w:pPr>
        <w:pStyle w:val="BodyText"/>
      </w:pPr>
      <w:r>
        <w:t xml:space="preserve">For the quarter to be viewed positively, Expedia likely needs more than solid reported numbers: it needs to demonstrate</w:t>
      </w:r>
      <w:r>
        <w:t xml:space="preserve"> </w:t>
      </w:r>
      <w:r>
        <w:rPr>
          <w:b/>
          <w:bCs/>
        </w:rPr>
        <w:t xml:space="preserve">healthy underlying demand, continued B2B momentum, sustainable marketing efficiency, and greater confidence in the second half of 2026</w:t>
      </w:r>
      <w:r>
        <w:t xml:space="preserve">.</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6" Target="https://ir.expediagroup.com/news-and-events/news/news-details/2026/Expedia-Group-Reports-First-Quarter-2026-Results/default.aspx?utm_source=openai" TargetMode="External" /><Relationship Type="http://schemas.openxmlformats.org/officeDocument/2006/relationships/hyperlink" Id="rId9" Target="https://ir.expediagroup.com/news-and-events/news/news-details/2026/Expedia-Group-to-Webcast-Second-Quarter-2026-Results-on-August-5-2026/default.aspx?utm_source=openai" TargetMode="External" /><Relationship Type="http://schemas.openxmlformats.org/officeDocument/2006/relationships/hyperlink" Id="rId11" Target="https://s202.q4cdn.com/757635260/files/doc_financials/2026/q1/Q1-2026-Earnings-Release-FINAL.pdf?utm_source=openai" TargetMode="External" /></Relationships>
</file>

<file path=word/_rels/footnotes.xml.rels><?xml version="1.0" encoding="UTF-8"?><Relationships xmlns="http://schemas.openxmlformats.org/package/2006/relationships"><Relationship Type="http://schemas.openxmlformats.org/officeDocument/2006/relationships/hyperlink" Id="rId16" Target="https://ir.expediagroup.com/news-and-events/news/news-details/2026/Expedia-Group-Reports-First-Quarter-2026-Results/default.aspx?utm_source=openai" TargetMode="External" /><Relationship Type="http://schemas.openxmlformats.org/officeDocument/2006/relationships/hyperlink" Id="rId9" Target="https://ir.expediagroup.com/news-and-events/news/news-details/2026/Expedia-Group-to-Webcast-Second-Quarter-2026-Results-on-August-5-2026/default.aspx?utm_source=openai" TargetMode="External" /><Relationship Type="http://schemas.openxmlformats.org/officeDocument/2006/relationships/hyperlink" Id="rId11" Target="https://s202.q4cdn.com/757635260/files/doc_financials/2026/q1/Q1-2026-Earnings-Release-FINAL.pdf?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2026-08-05T00:56:10Z</dcterms:created>
  <dcterms:modified xsi:type="dcterms:W3CDTF">2026-08-05T00:56:10Z</dcterms:modified>
</cp:coreProperties>
</file>

<file path=docProps/custom.xml><?xml version="1.0" encoding="utf-8"?>
<Properties xmlns="http://schemas.openxmlformats.org/officeDocument/2006/custom-properties" xmlns:vt="http://schemas.openxmlformats.org/officeDocument/2006/docPropsVTypes"/>
</file>