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FIS before writing the preview. Let me gather recent filings, earnings history, analyst expectations, and news.Let me read the most recent earnings materials (2026Q1) and check for recent news.Let me pull recent news and the stock's recent price action to gauge the setup.The stock has been on a wild ride. Let me check news around the late-July rally and get prior-year Q2 context for the comparison.I now have what I need. Here's the earnings preview.</w:t>
      </w:r>
    </w:p>
    <w:p>
      <w:r>
        <w:pict>
          <v:rect style="width:0;height:1.5pt" o:hralign="center" o:hrstd="t" o:hr="t"/>
        </w:pict>
      </w:r>
    </w:p>
    <w:bookmarkStart w:id="21" w:name="fis-nyse-fis--q2-2026-earnings-preview"/>
    <w:p>
      <w:pPr>
        <w:pStyle w:val="Heading1"/>
      </w:pPr>
      <w:r>
        <w:t xml:space="preserve">FIS (NYSE: FIS) — Q2 2026 Earnings Preview</w:t>
      </w:r>
    </w:p>
    <w:bookmarkStart w:id="9" w:name="X4ec30d398dc0887f6ae4a26f2e163b470c5e675"/>
    <w:p>
      <w:pPr>
        <w:pStyle w:val="Heading3"/>
      </w:pPr>
      <w:r>
        <w:t xml:space="preserve">Reports before the open, Tuesday, August 4, 2026 | Conference call 8:30 a.m. ET</w:t>
      </w:r>
    </w:p>
    <w:bookmarkEnd w:id="9"/>
    <w:bookmarkStart w:id="10" w:name="Xfda5f0bb5a714e5fe2425e7d3e000779e6e83f4"/>
    <w:p>
      <w:pPr>
        <w:pStyle w:val="Heading2"/>
      </w:pPr>
      <w:r>
        <w:t xml:space="preserve">The Setup: A "Show-Me" Stock Rallying Into the Print</w:t>
      </w:r>
    </w:p>
    <w:p>
      <w:pPr>
        <w:pStyle w:val="FirstParagraph"/>
      </w:pPr>
      <w:r>
        <w:t xml:space="preserve">FIS enters this report as one of the more contentious names in fintech. Despite a Q1 that beat across the board, the stock has been a serious underperformer in 2026 — falling from ~$66 at the start of January to a low near</w:t>
      </w:r>
      <w:r>
        <w:t xml:space="preserve"> </w:t>
      </w:r>
      <m:oMath>
        <m:r>
          <m:t>37</m:t>
        </m:r>
        <m:r>
          <m:t>i</m:t>
        </m:r>
        <m:r>
          <m:t>n</m:t>
        </m:r>
        <m:r>
          <m:t>m</m:t>
        </m:r>
        <m:r>
          <m:t>i</m:t>
        </m:r>
        <m:r>
          <m:t>d</m:t>
        </m:r>
        <m:r>
          <m:rPr>
            <m:sty m:val="p"/>
          </m:rPr>
          <m:t>−</m:t>
        </m:r>
        <m:r>
          <m:t>J</m:t>
        </m:r>
        <m:r>
          <m:t>u</m:t>
        </m:r>
        <m:r>
          <m:t>n</m:t>
        </m:r>
        <m:r>
          <m:t>e</m:t>
        </m:r>
        <m:r>
          <m:rPr>
            <m:sty m:val="p"/>
          </m:rPr>
          <m:t>(</m:t>
        </m:r>
        <m:r>
          <m:t>r</m:t>
        </m:r>
        <m:r>
          <m:t>o</m:t>
        </m:r>
        <m:r>
          <m:t>u</m:t>
        </m:r>
        <m:r>
          <m:t>g</m:t>
        </m:r>
        <m:r>
          <m:t>h</m:t>
        </m:r>
        <m:r>
          <m:t>l</m:t>
        </m:r>
        <m:r>
          <m:t>y</m:t>
        </m:r>
        <m:r>
          <m:rPr>
            <m:sty m:val="p"/>
          </m:rPr>
          <m:t>−</m:t>
        </m:r>
        <m:r>
          <m:t>40</m:t>
        </m:r>
      </m:oMath>
      <w:r>
        <w:t xml:space="preserve">40 on July 22 to ~$45 heading into the print, so expectations have firmed up somewhat, but the stock still sits well below where it started the year.</w:t>
      </w:r>
    </w:p>
    <w:p>
      <w:pPr>
        <w:pStyle w:val="BodyText"/>
      </w:pPr>
      <w:r>
        <w:t xml:space="preserve">The disconnect is the story: management keeps delivering "beat-and-reiterate" quarters, yet the market remains skeptical about (1) the durability of the margin-expansion and recurring-revenue reacceleration thesis, (2) Capital Markets softness, and (3) execution on the transformational TSYS (Total Issuing Solutions) acquisition. Notably, the stock fell ~8% in the days around the May 8 Q1 print</w:t>
      </w:r>
      <w:r>
        <w:t xml:space="preserve"> </w:t>
      </w:r>
      <w:r>
        <w:rPr>
          <w:i/>
          <w:iCs/>
        </w:rPr>
        <w:t xml:space="preserve">even though results beat and guidance was reiterated</w:t>
      </w:r>
      <w:r>
        <w:t xml:space="preserve"> </w:t>
      </w:r>
      <w:r>
        <w:t xml:space="preserve">— a signal that the burden of proof is on management.</w:t>
      </w:r>
    </w:p>
    <w:p>
      <w:pPr>
        <w:pStyle w:val="BodyText"/>
      </w:pPr>
      <w:r>
        <w:rPr>
          <w:b/>
          <w:bCs/>
        </w:rPr>
        <w:t xml:space="preserve">Bottom line for this quarter:</w:t>
      </w:r>
      <w:r>
        <w:t xml:space="preserve"> </w:t>
      </w:r>
      <w:r>
        <w:t xml:space="preserve">With a low-40s-to-mid-40s stock and a run-up into the report, this is a quarter where FIS likely needs to do more than simply reiterate. Investors will be looking for (a) recurring-revenue reacceleration to validate the ACV momentum, (b) the first formal TSYS synergy reporting, and (c) confidence in the second-half ramp that underpins the full-year guide.</w:t>
      </w:r>
    </w:p>
    <w:p>
      <w:r>
        <w:pict>
          <v:rect style="width:0;height:1.5pt" o:hralign="center" o:hrstd="t" o:hr="t"/>
        </w:pict>
      </w:r>
    </w:p>
    <w:bookmarkEnd w:id="10"/>
    <w:bookmarkStart w:id="11" w:name="what-to-expect-the-numbers"/>
    <w:p>
      <w:pPr>
        <w:pStyle w:val="Heading2"/>
      </w:pPr>
      <w:r>
        <w:t xml:space="preserve">What to Expect: The Numbers</w:t>
      </w:r>
    </w:p>
    <w:p>
      <w:pPr>
        <w:pStyle w:val="FirstParagraph"/>
      </w:pPr>
      <w:r>
        <w:t xml:space="preserve">FIS's own Q2 2026 outlook (issued with the Q1 release) is the key benchmark:</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 (Q2 2026 guide)</w:t>
            </w:r>
          </w:p>
        </w:tc>
        <w:tc>
          <w:tcPr/>
          <w:p>
            <w:pPr>
              <w:pStyle w:val="Compact"/>
            </w:pPr>
            <w:r>
              <w:t xml:space="preserve">Range</w:t>
            </w:r>
          </w:p>
        </w:tc>
      </w:tr>
      <w:tr>
        <w:tc>
          <w:tcPr/>
          <w:p>
            <w:pPr>
              <w:pStyle w:val="Compact"/>
            </w:pPr>
            <w:r>
              <w:t xml:space="preserve">Revenue</w:t>
            </w:r>
          </w:p>
        </w:tc>
        <w:tc>
          <w:tcPr/>
          <w:p>
            <w:pPr>
              <w:pStyle w:val="Compact"/>
            </w:pPr>
            <w:r>
              <w:t xml:space="preserve">$3,375M – $3,395M</w:t>
            </w:r>
          </w:p>
        </w:tc>
      </w:tr>
      <w:tr>
        <w:tc>
          <w:tcPr/>
          <w:p>
            <w:pPr>
              <w:pStyle w:val="Compact"/>
            </w:pPr>
            <w:r>
              <w:t xml:space="preserve">Adjusted EBITDA</w:t>
            </w:r>
          </w:p>
        </w:tc>
        <w:tc>
          <w:tcPr/>
          <w:p>
            <w:pPr>
              <w:pStyle w:val="Compact"/>
            </w:pPr>
            <w:r>
              <w:t xml:space="preserve">$1,395M – $1,415M</w:t>
            </w:r>
          </w:p>
        </w:tc>
      </w:tr>
      <w:tr>
        <w:tc>
          <w:tcPr/>
          <w:p>
            <w:pPr>
              <w:pStyle w:val="Compact"/>
            </w:pPr>
            <w:r>
              <w:t xml:space="preserve">Adjusted EPS</w:t>
            </w:r>
          </w:p>
        </w:tc>
        <w:tc>
          <w:tcPr/>
          <w:p>
            <w:pPr>
              <w:pStyle w:val="Compact"/>
            </w:pPr>
            <w:r>
              <w:t xml:space="preserve">$1.45 – $1.49</w:t>
            </w:r>
          </w:p>
        </w:tc>
      </w:tr>
      <w:tr>
        <w:tc>
          <w:tcPr/>
          <w:p>
            <w:pPr>
              <w:pStyle w:val="Compact"/>
            </w:pPr>
            <w:r>
              <w:t xml:space="preserve">Pro forma revenue growth</w:t>
            </w:r>
          </w:p>
        </w:tc>
        <w:tc>
          <w:tcPr/>
          <w:p>
            <w:pPr>
              <w:pStyle w:val="Compact"/>
            </w:pPr>
            <w:r>
              <w:t xml:space="preserve">4.9% – 5.5%</w:t>
            </w:r>
          </w:p>
        </w:tc>
      </w:tr>
      <w:tr>
        <w:tc>
          <w:tcPr/>
          <w:p>
            <w:pPr>
              <w:pStyle w:val="Compact"/>
            </w:pPr>
            <w:r>
              <w:t xml:space="preserve">— Banking</w:t>
            </w:r>
          </w:p>
        </w:tc>
        <w:tc>
          <w:tcPr/>
          <w:p>
            <w:pPr>
              <w:pStyle w:val="Compact"/>
            </w:pPr>
            <w:r>
              <w:t xml:space="preserve">5.5% – 6.0%</w:t>
            </w:r>
          </w:p>
        </w:tc>
      </w:tr>
      <w:tr>
        <w:tc>
          <w:tcPr/>
          <w:p>
            <w:pPr>
              <w:pStyle w:val="Compact"/>
            </w:pPr>
            <w:r>
              <w:t xml:space="preserve">— Capital Markets</w:t>
            </w:r>
          </w:p>
        </w:tc>
        <w:tc>
          <w:tcPr/>
          <w:p>
            <w:pPr>
              <w:pStyle w:val="Compact"/>
            </w:pPr>
            <w:r>
              <w:t xml:space="preserve">3.0% – 4.0%</w:t>
            </w:r>
          </w:p>
        </w:tc>
      </w:tr>
      <w:tr>
        <w:tc>
          <w:tcPr/>
          <w:p>
            <w:pPr>
              <w:pStyle w:val="Compact"/>
            </w:pPr>
            <w:r>
              <w:t xml:space="preserve">Adj. EBITDA margin expansion</w:t>
            </w:r>
          </w:p>
        </w:tc>
        <w:tc>
          <w:tcPr/>
          <w:p>
            <w:pPr>
              <w:pStyle w:val="Compact"/>
            </w:pPr>
            <w:r>
              <w:t xml:space="preserve">~75–110 bps</w:t>
            </w:r>
          </w:p>
        </w:tc>
      </w:tr>
    </w:tbl>
    <w:p>
      <w:pPr>
        <w:pStyle w:val="BodyText"/>
      </w:pPr>
      <w:r>
        <w:t xml:space="preserve">A few important framing points on the optics:</w:t>
      </w:r>
    </w:p>
    <w:p>
      <w:pPr>
        <w:pStyle w:val="Compact"/>
        <w:numPr>
          <w:ilvl w:val="0"/>
          <w:numId w:val="1001"/>
        </w:numPr>
      </w:pPr>
      <w:r>
        <w:rPr>
          <w:b/>
          <w:bCs/>
        </w:rPr>
        <w:t xml:space="preserve">Reported growth will look enormous (~30%+).</w:t>
      </w:r>
      <w:r>
        <w:t xml:space="preserve"> </w:t>
      </w:r>
      <w:r>
        <w:t xml:space="preserve">Both adjusted revenue and adjusted EBITDA will grow &gt;30% year-on-year, but that's almost entirely the TSYS (Issuer Solutions) acquisition, which closed late in Q1 (Q1 included only 8 days of contribution). The number that matters is</w:t>
      </w:r>
      <w:r>
        <w:t xml:space="preserve"> </w:t>
      </w:r>
      <w:r>
        <w:rPr>
          <w:b/>
          <w:bCs/>
        </w:rPr>
        <w:t xml:space="preserve">pro forma organic growth of ~5%</w:t>
      </w:r>
      <w:r>
        <w:t xml:space="preserve">.</w:t>
      </w:r>
    </w:p>
    <w:p>
      <w:pPr>
        <w:pStyle w:val="Compact"/>
        <w:numPr>
          <w:ilvl w:val="0"/>
          <w:numId w:val="1001"/>
        </w:numPr>
      </w:pPr>
      <w:r>
        <w:rPr>
          <w:b/>
          <w:bCs/>
        </w:rPr>
        <w:t xml:space="preserve">Year-ago comparison is messy.</w:t>
      </w:r>
      <w:r>
        <w:t xml:space="preserve"> </w:t>
      </w:r>
      <w:r>
        <w:t xml:space="preserve">Q2 2025 adjusted EPS was $1.36 and adjusted revenue was $2.6B, but that was pre-TSYS and pre-segment-recast, and included Worldpay equity-method earnings (the remaining 45% stake was sold January 9, 2026). Focus on pro forma metrics and the guide, not simple reported year-over-year deltas.</w:t>
      </w:r>
    </w:p>
    <w:p>
      <w:pPr>
        <w:pStyle w:val="Compact"/>
        <w:numPr>
          <w:ilvl w:val="0"/>
          <w:numId w:val="1001"/>
        </w:numPr>
      </w:pPr>
      <w:r>
        <w:rPr>
          <w:b/>
          <w:bCs/>
        </w:rPr>
        <w:t xml:space="preserve">Capital Markets optics are artificially soft in Q2.</w:t>
      </w:r>
      <w:r>
        <w:t xml:space="preserve"> </w:t>
      </w:r>
      <w:r>
        <w:t xml:space="preserve">Management flagged the segment's 3–4% guide includes a ~125 bp headwind from a license sale that</w:t>
      </w:r>
      <w:r>
        <w:t xml:space="preserve"> </w:t>
      </w:r>
      <w:r>
        <w:rPr>
          <w:i/>
          <w:iCs/>
        </w:rPr>
        <w:t xml:space="preserve">pulled into Q1</w:t>
      </w:r>
      <w:r>
        <w:t xml:space="preserve">, plus ~50 bps from softer lending volumes. Recurring growth in Capital Markets should run faster (mid-single digits) than the reported segment number.</w:t>
      </w:r>
    </w:p>
    <w:p>
      <w:r>
        <w:pict>
          <v:rect style="width:0;height:1.5pt" o:hralign="center" o:hrstd="t" o:hr="t"/>
        </w:pict>
      </w:r>
    </w:p>
    <w:bookmarkEnd w:id="11"/>
    <w:bookmarkStart w:id="17" w:name="the-five-things-that-actually-matter"/>
    <w:p>
      <w:pPr>
        <w:pStyle w:val="Heading2"/>
      </w:pPr>
      <w:r>
        <w:t xml:space="preserve">The Five Things That Actually Matter</w:t>
      </w:r>
    </w:p>
    <w:bookmarkStart w:id="12" w:name="X92b089c52d94e9095aaa803e7814cbfd4ced3e6"/>
    <w:p>
      <w:pPr>
        <w:pStyle w:val="Heading3"/>
      </w:pPr>
      <w:r>
        <w:t xml:space="preserve">1. Recurring revenue reacceleration — the crux of the bull case</w:t>
      </w:r>
    </w:p>
    <w:p>
      <w:pPr>
        <w:pStyle w:val="FirstParagraph"/>
      </w:pPr>
      <w:r>
        <w:t xml:space="preserve">Management's entire narrative rests on a claimed pivot to durable, recurring-led growth. The leading indicator is booming: total recurring ACV was</w:t>
      </w:r>
      <w:r>
        <w:t xml:space="preserve"> </w:t>
      </w:r>
      <w:r>
        <w:rPr>
          <w:b/>
          <w:bCs/>
        </w:rPr>
        <w:t xml:space="preserve">up 24% in Q1</w:t>
      </w:r>
      <w:r>
        <w:t xml:space="preserve"> </w:t>
      </w:r>
      <w:r>
        <w:t xml:space="preserve">(Banking +13%, Capital Markets +45%), on top of +20% in Q4. Yet Q1</w:t>
      </w:r>
      <w:r>
        <w:t xml:space="preserve"> </w:t>
      </w:r>
      <w:r>
        <w:rPr>
          <w:i/>
          <w:iCs/>
        </w:rPr>
        <w:t xml:space="preserve">reported</w:t>
      </w:r>
      <w:r>
        <w:t xml:space="preserve"> </w:t>
      </w:r>
      <w:r>
        <w:t xml:space="preserve">pro forma recurring growth was only ~4.8%. The bull case is that closed-but-not-yet-live sales convert into accelerating recurring revenue through 2026 and into 2027.</w:t>
      </w:r>
      <w:r>
        <w:t xml:space="preserve"> </w:t>
      </w:r>
      <w:r>
        <w:rPr>
          <w:b/>
          <w:bCs/>
        </w:rPr>
        <w:t xml:space="preserve">Watch whether reported recurring growth begins to tick up in Q2</w:t>
      </w:r>
      <w:r>
        <w:t xml:space="preserve"> </w:t>
      </w:r>
      <w:r>
        <w:t xml:space="preserve">— management guided both segments toward a "5-ish" recurring number, framing Q1 as the low point. Any continued ACV strength (especially in digital, money movement, and lending) supports the thesis; any deceleration would deepen skepticism.</w:t>
      </w:r>
    </w:p>
    <w:bookmarkEnd w:id="12"/>
    <w:bookmarkStart w:id="13" w:name="Xc2a9fe50f77bd4270c888be6674e79ab71d2f27"/>
    <w:p>
      <w:pPr>
        <w:pStyle w:val="Heading3"/>
      </w:pPr>
      <w:r>
        <w:t xml:space="preserve">2. TSYS/Issuer Solutions integration — first real data point</w:t>
      </w:r>
    </w:p>
    <w:p>
      <w:pPr>
        <w:pStyle w:val="FirstParagraph"/>
      </w:pPr>
      <w:r>
        <w:t xml:space="preserve">This ~$12B net acquisition is the single biggest driver of the FIS story. Q2 marks the</w:t>
      </w:r>
      <w:r>
        <w:t xml:space="preserve"> </w:t>
      </w:r>
      <w:r>
        <w:rPr>
          <w:b/>
          <w:bCs/>
        </w:rPr>
        <w:t xml:space="preserve">first full quarter with TSYS</w:t>
      </w:r>
      <w:r>
        <w:t xml:space="preserve"> </w:t>
      </w:r>
      <w:r>
        <w:t xml:space="preserve">and the first</w:t>
      </w:r>
      <w:r>
        <w:t xml:space="preserve"> </w:t>
      </w:r>
      <w:r>
        <w:rPr>
          <w:b/>
          <w:bCs/>
        </w:rPr>
        <w:t xml:space="preserve">formal synergy reporting</w:t>
      </w:r>
      <w:r>
        <w:t xml:space="preserve">. Management targets</w:t>
      </w:r>
      <w:r>
        <w:t xml:space="preserve"> </w:t>
      </w:r>
      <m:oMath>
        <m:r>
          <m:t>30</m:t>
        </m:r>
        <m:r>
          <m:rPr>
            <m:sty m:val="p"/>
          </m:rPr>
          <m:t>–</m:t>
        </m:r>
        <m:r>
          <m:t>40</m:t>
        </m:r>
        <m:r>
          <m:t>M</m:t>
        </m:r>
        <m:r>
          <m:t>o</m:t>
        </m:r>
        <m:r>
          <m:t>f</m:t>
        </m:r>
        <m:r>
          <m:t>c</m:t>
        </m:r>
        <m:r>
          <m:t>o</m:t>
        </m:r>
        <m:r>
          <m:t>s</m:t>
        </m:r>
        <m:r>
          <m:t>t</m:t>
        </m:r>
        <m:r>
          <m:t>s</m:t>
        </m:r>
        <m:r>
          <m:t>y</m:t>
        </m:r>
        <m:r>
          <m:t>n</m:t>
        </m:r>
        <m:r>
          <m:t>e</m:t>
        </m:r>
        <m:r>
          <m:t>r</m:t>
        </m:r>
        <m:r>
          <m:t>g</m:t>
        </m:r>
        <m:r>
          <m:t>i</m:t>
        </m:r>
        <m:r>
          <m:t>e</m:t>
        </m:r>
        <m:r>
          <m:t>s</m:t>
        </m:r>
        <m:r>
          <m:t>i</m:t>
        </m:r>
        <m:r>
          <m:t>n</m:t>
        </m:r>
        <m:r>
          <m:t>2026</m:t>
        </m:r>
        <m:r>
          <m:rPr>
            <m:sty m:val="p"/>
          </m:rPr>
          <m:t>(</m:t>
        </m:r>
        <m:r>
          <m:t>Q</m:t>
        </m:r>
        <m:r>
          <m:t>1</m:t>
        </m:r>
        <m:r>
          <m:t>w</m:t>
        </m:r>
        <m:r>
          <m:t>a</m:t>
        </m:r>
        <m:r>
          <m:t>s</m:t>
        </m:r>
        <m:r>
          <m:t>a</m:t>
        </m:r>
        <m:r>
          <m:t>t</m:t>
        </m:r>
        <m:r>
          <m:t>r</m:t>
        </m:r>
        <m:r>
          <m:t>i</m:t>
        </m:r>
        <m:r>
          <m:t>v</m:t>
        </m:r>
        <m:r>
          <m:t>i</m:t>
        </m:r>
        <m:r>
          <m:t>a</m:t>
        </m:r>
        <m:r>
          <m:t>l</m:t>
        </m:r>
        <m:r>
          <m:t> </m:t>
        </m:r>
      </m:oMath>
      <w:r>
        <w:t xml:space="preserve">1M, with most flow-through in 2H), building to $125M of cost synergies and $125M of revenue synergies longer term (revenue synergies mostly 2027–2028). Watch for: early cross-sell proof points (debit + credit + core bundling; the First Bank of Puerto Rico credit-line use case), integration cost commentary, and any change to the synergy roadmap.</w:t>
      </w:r>
    </w:p>
    <w:bookmarkEnd w:id="13"/>
    <w:bookmarkStart w:id="14" w:name="X67b5b9760a17e31c20f8b6bf72214bdb30861cd"/>
    <w:p>
      <w:pPr>
        <w:pStyle w:val="Heading3"/>
      </w:pPr>
      <w:r>
        <w:t xml:space="preserve">3. Capital Markets and the lending drag</w:t>
      </w:r>
    </w:p>
    <w:p>
      <w:pPr>
        <w:pStyle w:val="FirstParagraph"/>
      </w:pPr>
      <w:r>
        <w:t xml:space="preserve">The one genuine soft spot. Recurring growth was pressured ~130 bps in Q1 by weakness in</w:t>
      </w:r>
      <w:r>
        <w:t xml:space="preserve"> </w:t>
      </w:r>
      <w:r>
        <w:rPr>
          <w:b/>
          <w:bCs/>
        </w:rPr>
        <w:t xml:space="preserve">loan syndication / debt issuance</w:t>
      </w:r>
      <w:r>
        <w:t xml:space="preserve"> </w:t>
      </w:r>
      <w:r>
        <w:t xml:space="preserve">tied to macro volatility. Management called it "transitory" but conservatively baked continued softness into the full-year guide (Capital Markets now tracking to the</w:t>
      </w:r>
      <w:r>
        <w:t xml:space="preserve"> </w:t>
      </w:r>
      <w:r>
        <w:rPr>
          <w:i/>
          <w:iCs/>
        </w:rPr>
        <w:t xml:space="preserve">low end</w:t>
      </w:r>
      <w:r>
        <w:t xml:space="preserve"> </w:t>
      </w:r>
      <w:r>
        <w:t xml:space="preserve">of its 5.5–6.5% full-year range). Watch for signs of stabilization or further deterioration in debt-issuance activity — and whether the strong ACV (lending ACV +60% in both Q4 and Q1) starts translating to revenue.</w:t>
      </w:r>
    </w:p>
    <w:bookmarkEnd w:id="14"/>
    <w:bookmarkStart w:id="15" w:name="X90d39c5ed55a00d7ed0ed7da5accb30baf979a1"/>
    <w:p>
      <w:pPr>
        <w:pStyle w:val="Heading3"/>
      </w:pPr>
      <w:r>
        <w:t xml:space="preserve">4. Margins and the guidance credibility test</w:t>
      </w:r>
    </w:p>
    <w:p>
      <w:pPr>
        <w:pStyle w:val="FirstParagraph"/>
      </w:pPr>
      <w:r>
        <w:t xml:space="preserve">There has been an explicit "debate around FIS's ability to hit its margin targets." Q1 delivered 87 bps of pro forma expansion (ahead of the 35–55 bp guide), and the full-year target is 95–110 bps of pro forma expansion. With Banking tracking to the</w:t>
      </w:r>
      <w:r>
        <w:t xml:space="preserve"> </w:t>
      </w:r>
      <w:r>
        <w:rPr>
          <w:i/>
          <w:iCs/>
        </w:rPr>
        <w:t xml:space="preserve">high end</w:t>
      </w:r>
      <w:r>
        <w:t xml:space="preserve"> </w:t>
      </w:r>
      <w:r>
        <w:t xml:space="preserve">of its range (75% of revenue) and Capital Markets to the</w:t>
      </w:r>
      <w:r>
        <w:t xml:space="preserve"> </w:t>
      </w:r>
      <w:r>
        <w:rPr>
          <w:i/>
          <w:iCs/>
        </w:rPr>
        <w:t xml:space="preserve">low end</w:t>
      </w:r>
      <w:r>
        <w:t xml:space="preserve">, mix and cost execution matter. A clean margin beat with a reiterated/raised full-year would go a long way toward rebuilding credibility.</w:t>
      </w:r>
    </w:p>
    <w:bookmarkEnd w:id="15"/>
    <w:bookmarkStart w:id="16" w:name="Xc1fc9bff465a10e9efddfb9fad1bf9c92f88847"/>
    <w:p>
      <w:pPr>
        <w:pStyle w:val="Heading3"/>
      </w:pPr>
      <w:r>
        <w:t xml:space="preserve">5. Balance sheet, cash flow, and capital return</w:t>
      </w:r>
    </w:p>
    <w:p>
      <w:pPr>
        <w:pStyle w:val="Compact"/>
        <w:numPr>
          <w:ilvl w:val="0"/>
          <w:numId w:val="1002"/>
        </w:numPr>
      </w:pPr>
      <w:r>
        <w:rPr>
          <w:b/>
          <w:bCs/>
        </w:rPr>
        <w:t xml:space="preserve">Leverage:</w:t>
      </w:r>
      <w:r>
        <w:t xml:space="preserve"> </w:t>
      </w:r>
      <w:r>
        <w:t xml:space="preserve">~3.6x at Q1 (total debt ~$21B), with a</w:t>
      </w:r>
      <w:r>
        <w:t xml:space="preserve"> </w:t>
      </w:r>
      <w:r>
        <w:rPr>
          <w:b/>
          <w:bCs/>
        </w:rPr>
        <w:t xml:space="preserve">2.8x target</w:t>
      </w:r>
      <w:r>
        <w:t xml:space="preserve">. Buybacks and tuck-in M&amp;A are</w:t>
      </w:r>
      <w:r>
        <w:t xml:space="preserve"> </w:t>
      </w:r>
      <w:r>
        <w:rPr>
          <w:b/>
          <w:bCs/>
        </w:rPr>
        <w:t xml:space="preserve">paused</w:t>
      </w:r>
      <w:r>
        <w:t xml:space="preserve"> </w:t>
      </w:r>
      <w:r>
        <w:t xml:space="preserve">to accelerate deleveraging; the company has signaled it will "meaningfully increase capital return" once it hits 2.8x. Any acceleration of the deleveraging timeline is a positive catalyst.</w:t>
      </w:r>
    </w:p>
    <w:p>
      <w:pPr>
        <w:pStyle w:val="Compact"/>
        <w:numPr>
          <w:ilvl w:val="0"/>
          <w:numId w:val="1002"/>
        </w:numPr>
      </w:pPr>
      <w:r>
        <w:rPr>
          <w:b/>
          <w:bCs/>
        </w:rPr>
        <w:t xml:space="preserve">Free cash flow:</w:t>
      </w:r>
      <w:r>
        <w:t xml:space="preserve"> </w:t>
      </w:r>
      <w:r>
        <w:t xml:space="preserve">A bright spot. Q1 FCF more than doubled to $474M (already 23% of the</w:t>
      </w:r>
      <w:r>
        <w:t xml:space="preserve"> </w:t>
      </w:r>
      <m:oMath>
        <m:r>
          <m:t>2.05</m:t>
        </m:r>
        <m:r>
          <m:rPr>
            <m:sty m:val="p"/>
          </m:rPr>
          <m:t>–</m:t>
        </m:r>
        <m:r>
          <m:t>2.15</m:t>
        </m:r>
        <m:r>
          <m:t>B</m:t>
        </m:r>
        <m:r>
          <m:t>f</m:t>
        </m:r>
        <m:r>
          <m:t>u</m:t>
        </m:r>
        <m:r>
          <m:t>l</m:t>
        </m:r>
        <m:r>
          <m:t>l</m:t>
        </m:r>
        <m:r>
          <m:rPr>
            <m:sty m:val="p"/>
          </m:rPr>
          <m:t>−</m:t>
        </m:r>
        <m:r>
          <m:t>y</m:t>
        </m:r>
        <m:r>
          <m:t>e</m:t>
        </m:r>
        <m:r>
          <m:t>a</m:t>
        </m:r>
        <m:r>
          <m:t>r</m:t>
        </m:r>
        <m:r>
          <m:t>t</m:t>
        </m:r>
        <m:r>
          <m:t>a</m:t>
        </m:r>
        <m:r>
          <m:t>r</m:t>
        </m:r>
        <m:r>
          <m:t>g</m:t>
        </m:r>
        <m:r>
          <m:t>e</m:t>
        </m:r>
        <m:r>
          <m:t>t</m:t>
        </m:r>
        <m:r>
          <m:rPr>
            <m:sty m:val="p"/>
          </m:rPr>
          <m:t>)</m:t>
        </m:r>
        <m:r>
          <m:rPr>
            <m:sty m:val="p"/>
          </m:rPr>
          <m:t>.</m:t>
        </m:r>
        <m:r>
          <m:t>T</m:t>
        </m:r>
        <m:r>
          <m:t>h</m:t>
        </m:r>
        <m:r>
          <m:t>e</m:t>
        </m:r>
        <m:r>
          <m:t>l</m:t>
        </m:r>
        <m:r>
          <m:t>o</m:t>
        </m:r>
        <m:r>
          <m:t>n</m:t>
        </m:r>
        <m:r>
          <m:t>g</m:t>
        </m:r>
        <m:r>
          <m:t>e</m:t>
        </m:r>
        <m:r>
          <m:t>r</m:t>
        </m:r>
        <m:r>
          <m:rPr>
            <m:sty m:val="p"/>
          </m:rPr>
          <m:t>−</m:t>
        </m:r>
        <m:r>
          <m:t>t</m:t>
        </m:r>
        <m:r>
          <m:t>e</m:t>
        </m:r>
        <m:r>
          <m:t>r</m:t>
        </m:r>
        <m:r>
          <m:t>m</m:t>
        </m:r>
        <m:r>
          <m:t>g</m:t>
        </m:r>
        <m:r>
          <m:t>o</m:t>
        </m:r>
        <m:r>
          <m:t>a</m:t>
        </m:r>
        <m:r>
          <m:t>l</m:t>
        </m:r>
        <m:r>
          <m:t>i</m:t>
        </m:r>
        <m:r>
          <m:t>s</m:t>
        </m:r>
        <m:r>
          <m:rPr>
            <m:sty m:val="p"/>
          </m:rPr>
          <m:t>*</m:t>
        </m:r>
        <m:r>
          <m:rPr>
            <m:sty m:val="p"/>
          </m:rPr>
          <m:t>*</m:t>
        </m:r>
        <m:r>
          <m:rPr>
            <m:sty m:val="p"/>
          </m:rPr>
          <m:t>&gt;</m:t>
        </m:r>
      </m:oMath>
      <w:r>
        <w:t xml:space="preserve">3B FCF by 2028** (roughly doubling), driven by EBITDA growth and a wind-down of integration/transformation costs. Watch for reaffirmation and Q2 cash generation, which management said should also be strong.</w:t>
      </w:r>
    </w:p>
    <w:p>
      <w:r>
        <w:pict>
          <v:rect style="width:0;height:1.5pt" o:hralign="center" o:hrstd="t" o:hr="t"/>
        </w:pict>
      </w:r>
    </w:p>
    <w:bookmarkEnd w:id="16"/>
    <w:bookmarkEnd w:id="17"/>
    <w:bookmarkStart w:id="18" w:name="X61f531083f55713188700441a8eddc8d34b5594"/>
    <w:p>
      <w:pPr>
        <w:pStyle w:val="Heading2"/>
      </w:pPr>
      <w:r>
        <w:t xml:space="preserve">The AI / Digital-Assets Narrative — Optionality, Not Numbers (Yet)</w:t>
      </w:r>
    </w:p>
    <w:p>
      <w:pPr>
        <w:pStyle w:val="FirstParagraph"/>
      </w:pPr>
      <w:r>
        <w:t xml:space="preserve">Much of the recent investor buzz stems from two Q1 announcements:</w:t>
      </w:r>
    </w:p>
    <w:p>
      <w:pPr>
        <w:pStyle w:val="Compact"/>
        <w:numPr>
          <w:ilvl w:val="0"/>
          <w:numId w:val="1003"/>
        </w:numPr>
      </w:pPr>
      <w:r>
        <w:rPr>
          <w:b/>
          <w:bCs/>
        </w:rPr>
        <w:t xml:space="preserve">Anthropic partnership:</w:t>
      </w:r>
      <w:r>
        <w:t xml:space="preserve"> </w:t>
      </w:r>
      <w:r>
        <w:t xml:space="preserve">A first-of-its-kind co-build of "agentic" financial-services tools, starting with a</w:t>
      </w:r>
      <w:r>
        <w:t xml:space="preserve"> </w:t>
      </w:r>
      <w:r>
        <w:rPr>
          <w:b/>
          <w:bCs/>
        </w:rPr>
        <w:t xml:space="preserve">financial-crimes investigation agent</w:t>
      </w:r>
      <w:r>
        <w:t xml:space="preserve"> </w:t>
      </w:r>
      <w:r>
        <w:t xml:space="preserve">(design partners BMO and Amalgamated Bank). FIS owns the agents, IP and distribution; Anthropic provides the LLM and is paid on token usage. Management positions this as an "orchestrated intelligence" moat built on FIS's regulated infrastructure, ~73B annual transactions, and ~1.1B accounts on file.</w:t>
      </w:r>
    </w:p>
    <w:p>
      <w:pPr>
        <w:pStyle w:val="Compact"/>
        <w:numPr>
          <w:ilvl w:val="0"/>
          <w:numId w:val="1003"/>
        </w:numPr>
      </w:pPr>
      <w:r>
        <w:rPr>
          <w:b/>
          <w:bCs/>
        </w:rPr>
        <w:t xml:space="preserve">Project Keystone / Lyriq:</w:t>
      </w:r>
      <w:r>
        <w:t xml:space="preserve"> </w:t>
      </w:r>
      <w:r>
        <w:t xml:space="preserve">A bank-owned tokenized-deposit network (5 U.S. banks) plus a digital-asset platform, positioning FIS as the rails for banks entering digital currency without competing with them.</w:t>
      </w:r>
    </w:p>
    <w:p>
      <w:pPr>
        <w:pStyle w:val="FirstParagraph"/>
      </w:pPr>
      <w:r>
        <w:rPr>
          <w:b/>
          <w:bCs/>
        </w:rPr>
        <w:t xml:space="preserve">Key point for modeling:</w:t>
      </w:r>
      <w:r>
        <w:t xml:space="preserve"> </w:t>
      </w:r>
      <w:r>
        <w:t xml:space="preserve">Management was explicit that</w:t>
      </w:r>
      <w:r>
        <w:t xml:space="preserve"> </w:t>
      </w:r>
      <w:r>
        <w:rPr>
          <w:b/>
          <w:bCs/>
        </w:rPr>
        <w:t xml:space="preserve">there is no revenue from these initiatives in the 2026 guide.</w:t>
      </w:r>
      <w:r>
        <w:t xml:space="preserve"> </w:t>
      </w:r>
      <w:r>
        <w:t xml:space="preserve">First agents are expected in-market in 2H 2026, with revenue "taking shape" in 2027. So these are 2027+ optionality/story drivers — important for sentiment and the multiple, but not for this quarter's print. Expect heavy Q&amp;A on go-to-market, economics, and whether AI could eventually erode FIS's core switching-cost moat (management argues implementation gets faster but the regulatory complexity keeps the moat intact).</w:t>
      </w:r>
    </w:p>
    <w:p>
      <w:r>
        <w:pict>
          <v:rect style="width:0;height:1.5pt" o:hralign="center" o:hrstd="t" o:hr="t"/>
        </w:pict>
      </w:r>
    </w:p>
    <w:bookmarkEnd w:id="18"/>
    <w:bookmarkStart w:id="19" w:name="what-would-move-the-stock"/>
    <w:p>
      <w:pPr>
        <w:pStyle w:val="Heading2"/>
      </w:pPr>
      <w:r>
        <w:t xml:space="preserve">What Would Move the Stock</w:t>
      </w:r>
    </w:p>
    <w:p>
      <w:pPr>
        <w:pStyle w:val="FirstParagraph"/>
      </w:pPr>
      <w:r>
        <w:rPr>
          <w:b/>
          <w:bCs/>
        </w:rPr>
        <w:t xml:space="preserve">Bullish:</w:t>
      </w:r>
    </w:p>
    <w:p>
      <w:pPr>
        <w:pStyle w:val="Compact"/>
        <w:numPr>
          <w:ilvl w:val="0"/>
          <w:numId w:val="1004"/>
        </w:numPr>
      </w:pPr>
      <w:r>
        <w:t xml:space="preserve">Reported recurring revenue accelerating toward/above 5% (thesis validation)</w:t>
      </w:r>
    </w:p>
    <w:p>
      <w:pPr>
        <w:pStyle w:val="Compact"/>
        <w:numPr>
          <w:ilvl w:val="0"/>
          <w:numId w:val="1004"/>
        </w:numPr>
      </w:pPr>
      <w:r>
        <w:t xml:space="preserve">A margin/EPS beat with a</w:t>
      </w:r>
      <w:r>
        <w:t xml:space="preserve"> </w:t>
      </w:r>
      <w:r>
        <w:rPr>
          <w:i/>
          <w:iCs/>
        </w:rPr>
        <w:t xml:space="preserve">raised</w:t>
      </w:r>
      <w:r>
        <w:t xml:space="preserve"> </w:t>
      </w:r>
      <w:r>
        <w:t xml:space="preserve">full-year outlook (like the Q2 2025 "raise")</w:t>
      </w:r>
    </w:p>
    <w:p>
      <w:pPr>
        <w:pStyle w:val="Compact"/>
        <w:numPr>
          <w:ilvl w:val="0"/>
          <w:numId w:val="1004"/>
        </w:numPr>
      </w:pPr>
      <w:r>
        <w:t xml:space="preserve">Tangible TSYS synergy delivery and early cross-sell wins</w:t>
      </w:r>
    </w:p>
    <w:p>
      <w:pPr>
        <w:pStyle w:val="Compact"/>
        <w:numPr>
          <w:ilvl w:val="0"/>
          <w:numId w:val="1004"/>
        </w:numPr>
      </w:pPr>
      <w:r>
        <w:t xml:space="preserve">Faster deleveraging / clearer path to resuming buybacks</w:t>
      </w:r>
    </w:p>
    <w:p>
      <w:pPr>
        <w:pStyle w:val="Compact"/>
        <w:numPr>
          <w:ilvl w:val="0"/>
          <w:numId w:val="1004"/>
        </w:numPr>
      </w:pPr>
      <w:r>
        <w:t xml:space="preserve">Continued 20%+ ACV growth, especially in Capital Markets and payments</w:t>
      </w:r>
    </w:p>
    <w:p>
      <w:pPr>
        <w:pStyle w:val="FirstParagraph"/>
      </w:pPr>
      <w:r>
        <w:rPr>
          <w:b/>
          <w:bCs/>
        </w:rPr>
        <w:t xml:space="preserve">Bearish:</w:t>
      </w:r>
    </w:p>
    <w:p>
      <w:pPr>
        <w:pStyle w:val="Compact"/>
        <w:numPr>
          <w:ilvl w:val="0"/>
          <w:numId w:val="1005"/>
        </w:numPr>
      </w:pPr>
      <w:r>
        <w:t xml:space="preserve">Capital Markets lending drag deepening or spreading</w:t>
      </w:r>
    </w:p>
    <w:p>
      <w:pPr>
        <w:pStyle w:val="Compact"/>
        <w:numPr>
          <w:ilvl w:val="0"/>
          <w:numId w:val="1005"/>
        </w:numPr>
      </w:pPr>
      <w:r>
        <w:t xml:space="preserve">Recurring growth stuck at Q1 levels despite big ACV numbers (raising "conversion" doubts)</w:t>
      </w:r>
    </w:p>
    <w:p>
      <w:pPr>
        <w:pStyle w:val="Compact"/>
        <w:numPr>
          <w:ilvl w:val="0"/>
          <w:numId w:val="1005"/>
        </w:numPr>
      </w:pPr>
      <w:r>
        <w:t xml:space="preserve">Any TSYS integration cost creep or synergy timeline slippage</w:t>
      </w:r>
    </w:p>
    <w:p>
      <w:pPr>
        <w:pStyle w:val="Compact"/>
        <w:numPr>
          <w:ilvl w:val="0"/>
          <w:numId w:val="1005"/>
        </w:numPr>
      </w:pPr>
      <w:r>
        <w:t xml:space="preserve">A mere in-line "reiterate" — given the run-up into the print, the bar may now require an actual beat-and-raise</w:t>
      </w:r>
    </w:p>
    <w:p>
      <w:pPr>
        <w:pStyle w:val="Compact"/>
        <w:numPr>
          <w:ilvl w:val="0"/>
          <w:numId w:val="1005"/>
        </w:numPr>
      </w:pPr>
      <w:r>
        <w:t xml:space="preserve">Increased competitive noise (Pismo/Visa, core-modernization competition)</w:t>
      </w:r>
    </w:p>
    <w:p>
      <w:r>
        <w:pict>
          <v:rect style="width:0;height:1.5pt" o:hralign="center" o:hrstd="t" o:hr="t"/>
        </w:pict>
      </w:r>
    </w:p>
    <w:bookmarkEnd w:id="19"/>
    <w:bookmarkStart w:id="20" w:name="quick-reference--recent-trajectory"/>
    <w:p>
      <w:pPr>
        <w:pStyle w:val="Heading2"/>
      </w:pPr>
      <w:r>
        <w:t xml:space="preserve">Quick Reference — Recent Trajectory</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p>
        </w:tc>
        <w:tc>
          <w:tcPr/>
          <w:p>
            <w:pPr>
              <w:pStyle w:val="Compact"/>
            </w:pPr>
            <w:r>
              <w:t xml:space="preserve">Q2'25 (old basis)</w:t>
            </w:r>
          </w:p>
        </w:tc>
        <w:tc>
          <w:tcPr/>
          <w:p>
            <w:pPr>
              <w:pStyle w:val="Compact"/>
            </w:pPr>
            <w:r>
              <w:t xml:space="preserve">Q1'26 (reported)</w:t>
            </w:r>
          </w:p>
        </w:tc>
        <w:tc>
          <w:tcPr/>
          <w:p>
            <w:pPr>
              <w:pStyle w:val="Compact"/>
            </w:pPr>
            <w:r>
              <w:t xml:space="preserve">Q2'26 (guide midpoint)</w:t>
            </w:r>
          </w:p>
        </w:tc>
      </w:tr>
      <w:tr>
        <w:tc>
          <w:tcPr/>
          <w:p>
            <w:pPr>
              <w:pStyle w:val="Compact"/>
            </w:pPr>
            <w:r>
              <w:t xml:space="preserve">Adjusted EPS</w:t>
            </w:r>
          </w:p>
        </w:tc>
        <w:tc>
          <w:tcPr/>
          <w:p>
            <w:pPr>
              <w:pStyle w:val="Compact"/>
            </w:pPr>
            <w:r>
              <w:t xml:space="preserve">$1.36</w:t>
            </w:r>
          </w:p>
        </w:tc>
        <w:tc>
          <w:tcPr/>
          <w:p>
            <w:pPr>
              <w:pStyle w:val="Compact"/>
            </w:pPr>
            <w:r>
              <w:t xml:space="preserve">$1.36</w:t>
            </w:r>
          </w:p>
        </w:tc>
        <w:tc>
          <w:tcPr/>
          <w:p>
            <w:pPr>
              <w:pStyle w:val="Compact"/>
            </w:pPr>
            <w:r>
              <w:t xml:space="preserve">~$1.47</w:t>
            </w:r>
          </w:p>
        </w:tc>
      </w:tr>
      <w:tr>
        <w:tc>
          <w:tcPr/>
          <w:p>
            <w:pPr>
              <w:pStyle w:val="Compact"/>
            </w:pPr>
            <w:r>
              <w:t xml:space="preserve">Pro forma revenue growth</w:t>
            </w:r>
          </w:p>
        </w:tc>
        <w:tc>
          <w:tcPr/>
          <w:p>
            <w:pPr>
              <w:pStyle w:val="Compact"/>
            </w:pPr>
            <w:r>
              <w:t xml:space="preserve">—</w:t>
            </w:r>
          </w:p>
        </w:tc>
        <w:tc>
          <w:tcPr/>
          <w:p>
            <w:pPr>
              <w:pStyle w:val="Compact"/>
            </w:pPr>
            <w:r>
              <w:t xml:space="preserve">+6.5%</w:t>
            </w:r>
          </w:p>
        </w:tc>
        <w:tc>
          <w:tcPr/>
          <w:p>
            <w:pPr>
              <w:pStyle w:val="Compact"/>
            </w:pPr>
            <w:r>
              <w:t xml:space="preserve">~5.2%</w:t>
            </w:r>
          </w:p>
        </w:tc>
      </w:tr>
      <w:tr>
        <w:tc>
          <w:tcPr/>
          <w:p>
            <w:pPr>
              <w:pStyle w:val="Compact"/>
            </w:pPr>
            <w:r>
              <w:t xml:space="preserve">Adj. EBITDA margin</w:t>
            </w:r>
          </w:p>
        </w:tc>
        <w:tc>
          <w:tcPr/>
          <w:p>
            <w:pPr>
              <w:pStyle w:val="Compact"/>
            </w:pPr>
            <w:r>
              <w:t xml:space="preserve">39.8%</w:t>
            </w:r>
          </w:p>
        </w:tc>
        <w:tc>
          <w:tcPr/>
          <w:p>
            <w:pPr>
              <w:pStyle w:val="Compact"/>
            </w:pPr>
            <w:r>
              <w:t xml:space="preserve">39.6% (+87 bps PF)</w:t>
            </w:r>
          </w:p>
        </w:tc>
        <w:tc>
          <w:tcPr/>
          <w:p>
            <w:pPr>
              <w:pStyle w:val="Compact"/>
            </w:pPr>
            <w:r>
              <w:t xml:space="preserve">~41.5%</w:t>
            </w:r>
          </w:p>
        </w:tc>
      </w:tr>
      <w:tr>
        <w:tc>
          <w:tcPr/>
          <w:p>
            <w:pPr>
              <w:pStyle w:val="Compact"/>
            </w:pPr>
            <w:r>
              <w:t xml:space="preserve">FCF</w:t>
            </w:r>
          </w:p>
        </w:tc>
        <w:tc>
          <w:tcPr/>
          <w:p>
            <w:pPr>
              <w:pStyle w:val="Compact"/>
            </w:pPr>
            <w:r>
              <w:t xml:space="preserve">$292M (adj.)</w:t>
            </w:r>
          </w:p>
        </w:tc>
        <w:tc>
          <w:tcPr/>
          <w:p>
            <w:pPr>
              <w:pStyle w:val="Compact"/>
            </w:pPr>
            <w:r>
              <w:t xml:space="preserve">$474M</w:t>
            </w:r>
          </w:p>
        </w:tc>
        <w:tc>
          <w:tcPr/>
          <w:p>
            <w:pPr>
              <w:pStyle w:val="Compact"/>
            </w:pPr>
            <w:r>
              <w:t xml:space="preserve">strong (per mgmt)</w:t>
            </w:r>
          </w:p>
        </w:tc>
      </w:tr>
      <w:tr>
        <w:tc>
          <w:tcPr/>
          <w:p>
            <w:pPr>
              <w:pStyle w:val="Compact"/>
            </w:pPr>
            <w:r>
              <w:t xml:space="preserve">Leverage</w:t>
            </w:r>
          </w:p>
        </w:tc>
        <w:tc>
          <w:tcPr/>
          <w:p>
            <w:pPr>
              <w:pStyle w:val="Compact"/>
            </w:pPr>
            <w:r>
              <w:t xml:space="preserve">~ (pre-deal)</w:t>
            </w:r>
          </w:p>
        </w:tc>
        <w:tc>
          <w:tcPr/>
          <w:p>
            <w:pPr>
              <w:pStyle w:val="Compact"/>
            </w:pPr>
            <w:r>
              <w:t xml:space="preserve">3.6x</w:t>
            </w:r>
          </w:p>
        </w:tc>
        <w:tc>
          <w:tcPr/>
          <w:p>
            <w:pPr>
              <w:pStyle w:val="Compact"/>
            </w:pPr>
            <w:r>
              <w:t xml:space="preserve">trending toward 2.8x</w:t>
            </w:r>
          </w:p>
        </w:tc>
      </w:tr>
    </w:tbl>
    <w:p>
      <w:pPr>
        <w:pStyle w:val="BodyText"/>
      </w:pPr>
      <w:r>
        <w:rPr>
          <w:b/>
          <w:bCs/>
        </w:rPr>
        <w:t xml:space="preserve">Full-year 2026 guide (reiterated at Q1):</w:t>
      </w:r>
      <w:r>
        <w:t xml:space="preserve"> </w:t>
      </w:r>
      <w:r>
        <w:t xml:space="preserve">Pro forma revenue growth 5.1–5.7%; Adjusted EPS</w:t>
      </w:r>
      <w:r>
        <w:t xml:space="preserve"> </w:t>
      </w:r>
      <m:oMath>
        <m:r>
          <m:t>6.22</m:t>
        </m:r>
        <m:r>
          <m:rPr>
            <m:sty m:val="p"/>
          </m:rPr>
          <m:t>–</m:t>
        </m:r>
      </m:oMath>
      <w:r>
        <w:t xml:space="preserve">6.32 (+8–10%); Adjusted EBITDA</w:t>
      </w:r>
      <w:r>
        <w:t xml:space="preserve"> </w:t>
      </w:r>
      <m:oMath>
        <m:r>
          <m:t>5</m:t>
        </m:r>
        <m:r>
          <m:rPr>
            <m:sty m:val="p"/>
          </m:rPr>
          <m:t>,</m:t>
        </m:r>
        <m:r>
          <m:t>800</m:t>
        </m:r>
        <m:r>
          <m:rPr>
            <m:sty m:val="p"/>
          </m:rPr>
          <m:t>–</m:t>
        </m:r>
      </m:oMath>
      <w:r>
        <w:t xml:space="preserve">5,860M; FCF</w:t>
      </w:r>
      <w:r>
        <w:t xml:space="preserve"> </w:t>
      </w:r>
      <m:oMath>
        <m:r>
          <m:t>2.05</m:t>
        </m:r>
        <m:r>
          <m:rPr>
            <m:sty m:val="p"/>
          </m:rPr>
          <m:t>–</m:t>
        </m:r>
      </m:oMath>
      <w:r>
        <w:t xml:space="preserve">2.15B (+27–33%).</w:t>
      </w:r>
    </w:p>
    <w:p>
      <w:r>
        <w:pict>
          <v:rect style="width:0;height:1.5pt" o:hralign="center" o:hrstd="t" o:hr="t"/>
        </w:pict>
      </w:r>
    </w:p>
    <w:p>
      <w:pPr>
        <w:pStyle w:val="FirstParagraph"/>
      </w:pPr>
      <w:r>
        <w:rPr>
          <w:i/>
          <w:iCs/>
        </w:rPr>
        <w:t xml:space="preserve">Note: FIS reports and guides on multiple bases (GAAP, adjusted, and pro forma including TSYS). The pro forma organic figures — not the ~30% reported growth optics — are the right lens for judging underlying performance. All figures above are drawn from FIS's Q1 2026 and Q2 2025 earnings releases and the Q1 2026 earnings call; consensus/Street estimates were not available in the sources reviewed, so the company's own guidance is used as the benchmark.</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2026-08-04T00:34:09Z</dcterms:created>
  <dcterms:modified xsi:type="dcterms:W3CDTF">2026-08-04T00:34:09Z</dcterms:modified>
</cp:coreProperties>
</file>

<file path=docProps/custom.xml><?xml version="1.0" encoding="utf-8"?>
<Properties xmlns="http://schemas.openxmlformats.org/officeDocument/2006/custom-properties" xmlns:vt="http://schemas.openxmlformats.org/officeDocument/2006/docPropsVTypes"/>
</file>