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2779a490ad7d08f6ade2c2f0b934444a74ddab"/>
    <w:p>
      <w:pPr>
        <w:pStyle w:val="Heading1"/>
      </w:pPr>
      <w:r>
        <w:t xml:space="preserve">FIS (Fidelity National Information Services) — Q2 2026 Earnings Preview</w:t>
      </w:r>
    </w:p>
    <w:p>
      <w:pPr>
        <w:pStyle w:val="FirstParagraph"/>
      </w:pPr>
      <w:r>
        <w:rPr>
          <w:b/>
          <w:bCs/>
        </w:rPr>
        <w:t xml:space="preserve">Report Date:</w:t>
      </w:r>
      <w:r>
        <w:t xml:space="preserve"> </w:t>
      </w:r>
      <w:r>
        <w:t xml:space="preserve">Tuesday, August 4, 2026, before market open |</w:t>
      </w:r>
      <w:r>
        <w:t xml:space="preserve"> </w:t>
      </w:r>
      <w:r>
        <w:rPr>
          <w:b/>
          <w:bCs/>
        </w:rPr>
        <w:t xml:space="preserve">Call:</w:t>
      </w:r>
      <w:r>
        <w:t xml:space="preserve"> </w:t>
      </w:r>
      <w:r>
        <w:t xml:space="preserve">8:30 AM ET</w:t>
      </w:r>
    </w:p>
    <w:p>
      <w:r>
        <w:pict>
          <v:rect style="width:0;height:1.5pt" o:hralign="center" o:hrstd="t" o:hr="t"/>
        </w:pict>
      </w:r>
    </w:p>
    <w:bookmarkStart w:id="9" w:name="Xc425021f6d80290e0e5a31f212642a7fbd49e7d"/>
    <w:p>
      <w:pPr>
        <w:pStyle w:val="Heading2"/>
      </w:pPr>
      <w:r>
        <w:t xml:space="preserve">Setup: A Beaten-Down Stock Heading Into a Big Transition Quarter</w:t>
      </w:r>
    </w:p>
    <w:p>
      <w:pPr>
        <w:pStyle w:val="FirstParagraph"/>
      </w:pPr>
      <w:r>
        <w:t xml:space="preserve">FIS shares have been under significant pressure over the past year even as the company just delivered a strong Q1 beat. Despite a recent bounce off the summer lows, FIS stock has declined 48.1% over the past 52 weeks, underperforming the S&amp;P 500 Index's 18.4% rise and the State Street Technology Select Sector SPDR ETF's 34.5% rise during the same time frame. The stock closed around $44.79 on August 3, well off its highs, even after rallying roughly 12% in the week before earnings. Sentiment is split: analysts are moderately bullish about FIS, with the stock having a "Moderate Buy" rating overall, and the average analyst price target implies meaningful upside from current levels, but the spread of price targets is wide — from BNP Paribas Exane's "underperform" call in the $37 range to KBW's $68 "outperform" — reflecting genuine debate about the durability of margin expansion and organic growth following the transformative Issuer Solutions (TSYS) deal.</w:t>
      </w:r>
    </w:p>
    <w:bookmarkEnd w:id="9"/>
    <w:bookmarkStart w:id="10" w:name="X223f82275284bcf981f24ae72d96762b39a7e0e"/>
    <w:p>
      <w:pPr>
        <w:pStyle w:val="Heading2"/>
      </w:pPr>
      <w:r>
        <w:t xml:space="preserve">What Happened Last Quarter (Q1 2026) — The Baseline</w:t>
      </w:r>
    </w:p>
    <w:p>
      <w:pPr>
        <w:pStyle w:val="FirstParagraph"/>
      </w:pPr>
      <w:r>
        <w:t xml:space="preserve">Q1 was a clean beat across the board and sets the bar for Q2:</w:t>
      </w:r>
    </w:p>
    <w:p>
      <w:pPr>
        <w:pStyle w:val="Compact"/>
        <w:numPr>
          <w:ilvl w:val="0"/>
          <w:numId w:val="1001"/>
        </w:numPr>
      </w:pPr>
      <w:r>
        <w:t xml:space="preserve">Pro forma revenue grew 6.5%, EBITDA margin expanded 87 bps to 39.6%, adjusted EPS rose 12.4% to $1.36, and free cash flow more than doubled to $474 million.</w:t>
      </w:r>
    </w:p>
    <w:p>
      <w:pPr>
        <w:pStyle w:val="Compact"/>
        <w:numPr>
          <w:ilvl w:val="0"/>
          <w:numId w:val="1001"/>
        </w:numPr>
      </w:pPr>
      <w:r>
        <w:t xml:space="preserve">The quarter also closed the ~$7.7 billion-funded acquisition of Global Payments' Issuer Solutions business (rebranded FIS Total Issuing™ Solutions) on January 9, 2026, and the sale of FIS's remaining 45% Worldpay stake, which generated an estimated $2.2 billion pre-tax gain reflected in GAAP EPS of $4.58.</w:t>
      </w:r>
    </w:p>
    <w:p>
      <w:pPr>
        <w:pStyle w:val="Compact"/>
        <w:numPr>
          <w:ilvl w:val="0"/>
          <w:numId w:val="1001"/>
        </w:numPr>
      </w:pPr>
      <w:r>
        <w:t xml:space="preserve">Recurring ACV growth hit 24% year-over-year, with Capital Markets ACV up 45% and Money Movement Hub ACV tripling — leading indicators management is leaning on heavily as proof of "durable, predictable revenue growth."</w:t>
      </w:r>
    </w:p>
    <w:p>
      <w:pPr>
        <w:pStyle w:val="Compact"/>
        <w:numPr>
          <w:ilvl w:val="0"/>
          <w:numId w:val="1001"/>
        </w:numPr>
      </w:pPr>
      <w:r>
        <w:t xml:space="preserve">The one soft spot: Capital Markets recurring revenue growth decelerated to 3.6% due to a macro-driven pullback in loan syndication/lending activity, which management called transitory but conservatively assumed would persist through the year.</w:t>
      </w:r>
    </w:p>
    <w:bookmarkEnd w:id="10"/>
    <w:bookmarkStart w:id="11" w:name="q2-2026-guidance-and-street-expectations"/>
    <w:p>
      <w:pPr>
        <w:pStyle w:val="Heading2"/>
      </w:pPr>
      <w:r>
        <w:t xml:space="preserve">Q2 2026 Guidance and Street Expectations</w:t>
      </w:r>
    </w:p>
    <w:p>
      <w:pPr>
        <w:pStyle w:val="FirstParagraph"/>
      </w:pPr>
      <w:r>
        <w:t xml:space="preserve">Management's own Q2 outlook, given on the Q1 call, is the benchmark:</w:t>
      </w:r>
    </w:p>
    <w:p>
      <w:pPr>
        <w:pStyle w:val="Compact"/>
        <w:numPr>
          <w:ilvl w:val="0"/>
          <w:numId w:val="1002"/>
        </w:numPr>
      </w:pPr>
      <w:r>
        <w:rPr>
          <w:b/>
          <w:bCs/>
        </w:rPr>
        <w:t xml:space="preserve">Revenue:</w:t>
      </w:r>
      <w:r>
        <w:t xml:space="preserve"> </w:t>
      </w:r>
      <m:oMath>
        <m:r>
          <m:t>3</m:t>
        </m:r>
        <m:r>
          <m:rPr>
            <m:sty m:val="p"/>
          </m:rPr>
          <m:t>,</m:t>
        </m:r>
        <m:r>
          <m:t>375</m:t>
        </m:r>
        <m:r>
          <m:rPr>
            <m:sty m:val="p"/>
          </m:rPr>
          <m:t>–</m:t>
        </m:r>
      </m:oMath>
      <w:r>
        <w:t xml:space="preserve">3,395M (adjusted basis), pro forma growth of 4.9%–5.5% (Banking 5.5%–6%, Capital Markets 3%–4%)</w:t>
      </w:r>
    </w:p>
    <w:p>
      <w:pPr>
        <w:pStyle w:val="Compact"/>
        <w:numPr>
          <w:ilvl w:val="0"/>
          <w:numId w:val="1002"/>
        </w:numPr>
      </w:pPr>
      <w:r>
        <w:rPr>
          <w:b/>
          <w:bCs/>
        </w:rPr>
        <w:t xml:space="preserve">Adjusted EBITDA:</w:t>
      </w:r>
      <w:r>
        <w:t xml:space="preserve"> </w:t>
      </w:r>
      <m:oMath>
        <m:r>
          <m:t>1</m:t>
        </m:r>
        <m:r>
          <m:rPr>
            <m:sty m:val="p"/>
          </m:rPr>
          <m:t>,</m:t>
        </m:r>
        <m:r>
          <m:t>395</m:t>
        </m:r>
        <m:r>
          <m:rPr>
            <m:sty m:val="p"/>
          </m:rPr>
          <m:t>–</m:t>
        </m:r>
      </m:oMath>
      <w:r>
        <w:t xml:space="preserve">1,415M, with margin expansion of ~170 bps and 75–110 bps of pro forma margin expansion</w:t>
      </w:r>
    </w:p>
    <w:p>
      <w:pPr>
        <w:pStyle w:val="Compact"/>
        <w:numPr>
          <w:ilvl w:val="0"/>
          <w:numId w:val="1002"/>
        </w:numPr>
      </w:pPr>
      <w:r>
        <w:rPr>
          <w:b/>
          <w:bCs/>
        </w:rPr>
        <w:t xml:space="preserve">Adjusted EPS:</w:t>
      </w:r>
      <w:r>
        <w:t xml:space="preserve"> </w:t>
      </w:r>
      <m:oMath>
        <m:r>
          <m:t>1.45</m:t>
        </m:r>
        <m:r>
          <m:rPr>
            <m:sty m:val="p"/>
          </m:rPr>
          <m:t>–</m:t>
        </m:r>
      </m:oMath>
      <w:r>
        <w:t xml:space="preserve">1.49, growth of 7%–10%</w:t>
      </w:r>
    </w:p>
    <w:p>
      <w:pPr>
        <w:pStyle w:val="FirstParagraph"/>
      </w:pPr>
      <w:r>
        <w:t xml:space="preserve">Wall Street consensus sits essentially at the high end of that range: the Zacks Consensus Estimate for the to-be-reported quarter's earnings is currently pegged at $1.47 per share, and the same for revenues is pinned at $3.38 billion, implying an 8.1% year-over-year EPS increase and 29.4% revenue growth (GAAP, reflecting the Issuer Solutions consolidation). Notably, the second-quarter earnings estimate has seen one downward revision against no upward revisions over the past 60 days, and FIS's Earnings ESP is -0.70% with a Zacks Rank #3, meaning the quant model does not conclusively predict a beat this quarter. For the segments, the Zacks Consensus Estimate calls for Banking Solutions revenue up 37.3% (largely acquisition-driven) and Capital Market Solutions revenue up 6.1% year over year, with Banking Solutions adjusted EBITDA seen up 41.7% and Capital Market Solutions EBITDA up 10.3%, partly offset by Corporate and Other adjusted EBITDA expected to deteriorate about 4.4% year over year.</w:t>
      </w:r>
    </w:p>
    <w:p>
      <w:pPr>
        <w:pStyle w:val="BodyText"/>
      </w:pPr>
      <w:r>
        <w:t xml:space="preserve">For full-year 2026, FIS reiterated adjusted revenue growth of 30-31%, adjusted EBITDA growth of 34-35%, adjusted EPS growth of 8-10%, pro forma revenue/EBITDA growth of 5.1-5.7%/7.2-8.4%, and free cash flow of</w:t>
      </w:r>
      <w:r>
        <w:t xml:space="preserve"> </w:t>
      </w:r>
      <m:oMath>
        <m:r>
          <m:t>2.05</m:t>
        </m:r>
        <m:r>
          <m:rPr>
            <m:sty m:val="p"/>
          </m:rPr>
          <m:t>−</m:t>
        </m:r>
      </m:oMath>
      <w:r>
        <w:t xml:space="preserve">2.15 billion.</w:t>
      </w:r>
    </w:p>
    <w:bookmarkEnd w:id="11"/>
    <w:bookmarkStart w:id="12" w:name="key-things-to-watch"/>
    <w:p>
      <w:pPr>
        <w:pStyle w:val="Heading2"/>
      </w:pPr>
      <w:r>
        <w:t xml:space="preserve">Key Things to Watch</w:t>
      </w:r>
    </w:p>
    <w:p>
      <w:pPr>
        <w:pStyle w:val="FirstParagraph"/>
      </w:pPr>
      <w:r>
        <w:rPr>
          <w:b/>
          <w:bCs/>
        </w:rPr>
        <w:t xml:space="preserve">1. Does Capital Markets recurring revenue actually reaccelerate?</w:t>
      </w:r>
      <w:r>
        <w:t xml:space="preserve"> </w:t>
      </w:r>
      <w:r>
        <w:t xml:space="preserve">This is arguably the single most important swing factor. Management guided Q2 Capital Markets revenue growth of 3%–4%, still weighed down by a ~125 bps license-timing headwind and ~50 bps from soft lending volumes, but explicitly said recurring revenue "will outpace adjusted revenue growth" and should get back to a "mid-single-digit kind of number" after Q1's dip to 3.6%. CFO James Kehoe pointed to first quarter recurring ACV sales up 45% (building on 34% growth the prior quarter) as evidence underlying demand remains strong even as booked lending revenue lags. Any further deterioration here — versus a clean reacceleration — will be scrutinized closely given last quarter's disappointment.</w:t>
      </w:r>
    </w:p>
    <w:p>
      <w:pPr>
        <w:pStyle w:val="BodyText"/>
      </w:pPr>
      <w:r>
        <w:rPr>
          <w:b/>
          <w:bCs/>
        </w:rPr>
        <w:t xml:space="preserve">2. Cost synergy realization from the Issuer Solutions/TSYS deal.</w:t>
      </w:r>
      <w:r>
        <w:t xml:space="preserve"> </w:t>
      </w:r>
      <w:r>
        <w:t xml:space="preserve">Management guided to</w:t>
      </w:r>
      <w:r>
        <w:t xml:space="preserve"> </w:t>
      </w:r>
      <m:oMath>
        <m:r>
          <m:t>30</m:t>
        </m:r>
        <m:r>
          <m:rPr>
            <m:sty m:val="p"/>
          </m:rPr>
          <m:t>–</m:t>
        </m:r>
      </m:oMath>
      <w:r>
        <w:t xml:space="preserve">40 million of cost synergies in 2026 (against a $125 million long-term target) but admitted Q1 delivery was only about $1 million, with "formal reporting" and the bulk of the flow-through expected to begin in Q2 and build through the second half. Investors will want to see this inflect visibly, since it's a key driver of the 75-110bps of margin expansion guided for the quarter and the broader thesis that Issuer Solutions is accretive to margins.</w:t>
      </w:r>
    </w:p>
    <w:p>
      <w:pPr>
        <w:pStyle w:val="BodyText"/>
      </w:pPr>
      <w:r>
        <w:rPr>
          <w:b/>
          <w:bCs/>
        </w:rPr>
        <w:t xml:space="preserve">3. Margin trajectory and mix shift.</w:t>
      </w:r>
      <w:r>
        <w:t xml:space="preserve"> </w:t>
      </w:r>
      <w:r>
        <w:t xml:space="preserve">FIS beat its own margin guidance handily in Q1 (87 bps actual vs. 35-55 bps guided) on favorable mix and cost discipline. Management guided Q2 margin expansion of 75-110 bps across both segments and reiterated the full-year target of 95-110 bps. Given the strength of the Q1 beat, there's a real question of whether Q2 guidance was set conservatively (setting up another beat) or whether the easier comparisons/mix tailwinds fade.</w:t>
      </w:r>
    </w:p>
    <w:p>
      <w:pPr>
        <w:pStyle w:val="BodyText"/>
      </w:pPr>
      <w:r>
        <w:rPr>
          <w:b/>
          <w:bCs/>
        </w:rPr>
        <w:t xml:space="preserve">4. Free cash flow and the deleveraging path.</w:t>
      </w:r>
      <w:r>
        <w:t xml:space="preserve"> </w:t>
      </w:r>
      <w:r>
        <w:t xml:space="preserve">Free cash flow more than doubled in Q1 to $474 million (111% growth), already delivering 23% of the full-year $2.1 billion guide versus a typical ~13-14% seasonal contribution in Q1. Management reiterated confidence in the full-year target and the longer-term goal of doubling free cash flow to more than $3 billion by 2028. Debt stood at $21.1 billion with leverage of 3.6x as of Q1-end (up sharply from the Issuer Solutions financing), and management has paused buybacks and tuck-in M&amp;A until leverage falls to its 2.8x target, at which point it intends to "meaningfully increase capital return to shareholders." Watch for updated leverage figures and any commentary on timing of resumed buybacks.</w:t>
      </w:r>
    </w:p>
    <w:p>
      <w:pPr>
        <w:pStyle w:val="BodyText"/>
      </w:pPr>
      <w:r>
        <w:rPr>
          <w:b/>
          <w:bCs/>
        </w:rPr>
        <w:t xml:space="preserve">5. The AI/Anthropic narrative — still pre-revenue, but strategically central.</w:t>
      </w:r>
      <w:r>
        <w:t xml:space="preserve"> </w:t>
      </w:r>
      <w:r>
        <w:t xml:space="preserve">FIS's Q1 call was dominated by its partnership with Anthropic to co-build a financial-crimes AI agent (with BMO and Amalgamated Bank as design partners), plus the Project Keystone tokenized-deposit network and the Lyriq digital-asset platform. Management was explicit that this agent is expected to reach market in the back half of 2026, with</w:t>
      </w:r>
      <w:r>
        <w:t xml:space="preserve"> </w:t>
      </w:r>
      <w:r>
        <w:rPr>
          <w:b/>
          <w:bCs/>
        </w:rPr>
        <w:t xml:space="preserve">no revenue currently baked into 2026 guidance</w:t>
      </w:r>
      <w:r>
        <w:t xml:space="preserve"> </w:t>
      </w:r>
      <w:r>
        <w:t xml:space="preserve">— meaningful monetization is expected in 2027. More recently, on July 16, FIS extended the Anthropic relationship by deploying the "Mythos 5" model through Project Glasswing to bolster cybersecurity across its payments and core banking software, and shares rose modestly on the news. Expect continued emphasis on this "orchestrated intelligence" positioning as a valuation catalyst, even though it's not yet a Q2 P&amp;L driver.</w:t>
      </w:r>
    </w:p>
    <w:p>
      <w:pPr>
        <w:pStyle w:val="BodyText"/>
      </w:pPr>
      <w:r>
        <w:rPr>
          <w:b/>
          <w:bCs/>
        </w:rPr>
        <w:t xml:space="preserve">6. Commercial momentum / ACV growth as the leading indicator.</w:t>
      </w:r>
      <w:r>
        <w:t xml:space="preserve"> </w:t>
      </w:r>
      <w:r>
        <w:t xml:space="preserve">With ACV growth running at 24% (following 20% in Q4) and management calling the Q2 pipeline "good as well," continued strength here would reinforce the bull case that 2026-27 recurring revenue growth durability is intact — a key rebuttal to bears skeptical of a "sugar high" from the Issuer Solutions deal.</w:t>
      </w:r>
    </w:p>
    <w:bookmarkEnd w:id="12"/>
    <w:bookmarkStart w:id="13" w:name="balance-sheet--capital-structure-context"/>
    <w:p>
      <w:pPr>
        <w:pStyle w:val="Heading2"/>
      </w:pPr>
      <w:r>
        <w:t xml:space="preserve">Balance Sheet / Capital Structure Context</w:t>
      </w:r>
    </w:p>
    <w:p>
      <w:pPr>
        <w:pStyle w:val="FirstParagraph"/>
      </w:pPr>
      <w:r>
        <w:t xml:space="preserve">The March 31, 2026 balance sheet reflects the transformative nature of the Issuer Solutions deal: total assets roughly $43.5 billion (up from $33.5 billion at year-end 2025), goodwill of $24.6 billion, and total debt of $21.1 billion at a 3.7% effective rate. Interest expense (net) nearly doubled year-over-year to $197 million due to the $7.7 billion of new acquisition financing (subsequently termed out via senior notes issued in March 2026), which will be a modest ongoing drag on adjusted EPS growth relative to revenue/EBITDA growth.</w:t>
      </w:r>
    </w:p>
    <w:bookmarkEnd w:id="13"/>
    <w:bookmarkStart w:id="14" w:name="bottom-line-for-investors"/>
    <w:p>
      <w:pPr>
        <w:pStyle w:val="Heading2"/>
      </w:pPr>
      <w:r>
        <w:t xml:space="preserve">Bottom Line for Investors</w:t>
      </w:r>
    </w:p>
    <w:p>
      <w:pPr>
        <w:pStyle w:val="FirstParagraph"/>
      </w:pPr>
      <w:r>
        <w:t xml:space="preserve">Going into this print, the setup is a company executing well operationally (per its own numbers) but trading at a steep valuation discount after a rough 12 months, largely due to (a) skepticism about Capital Markets/lending-driven revenue softness, (b) integration risk and leverage from the large debt-funded Issuer Solutions acquisition, and (c) a market still digesting whether the AI/Anthropic story is a genuine multi-year growth driver or more of a narrative overlay. A quarter that shows Capital Markets recurring revenue clearly reaccelerating, visible cost-synergy realization, and margin expansion in line with or above the 75-110 bps guide would likely be read as validating the reiterated full-year targets and could support further re-rating. Conversely, any incremental softness in lending/Capital Markets, disappointing synergy capture, or a step-down in ACV growth would reinforce bearish concerns about the sustainability of Q1's outperformance.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2026-08-04T00:36:44Z</dcterms:created>
  <dcterms:modified xsi:type="dcterms:W3CDTF">2026-08-04T00:36:44Z</dcterms:modified>
</cp:coreProperties>
</file>

<file path=docProps/custom.xml><?xml version="1.0" encoding="utf-8"?>
<Properties xmlns="http://schemas.openxmlformats.org/officeDocument/2006/custom-properties" xmlns:vt="http://schemas.openxmlformats.org/officeDocument/2006/docPropsVTypes"/>
</file>