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fis-2026q2-earnings-preview"/>
    <w:p>
      <w:pPr>
        <w:pStyle w:val="Heading1"/>
      </w:pPr>
      <w:r>
        <w:t xml:space="preserve">FIS 2026Q2 Earnings Preview</w:t>
      </w:r>
    </w:p>
    <w:p>
      <w:pPr>
        <w:pStyle w:val="BlockText"/>
      </w:pPr>
      <w:r>
        <w:rPr>
          <w:b/>
          <w:bCs/>
        </w:rPr>
        <w:t xml:space="preserve">Timing clarification:</w:t>
      </w:r>
      <w:r>
        <w:t xml:space="preserve"> </w:t>
      </w:r>
      <w:r>
        <w:t xml:space="preserve">FIS’s official announcement schedules second-quarter results for</w:t>
      </w:r>
      <w:r>
        <w:t xml:space="preserve"> </w:t>
      </w:r>
      <w:r>
        <w:rPr>
          <w:b/>
          <w:bCs/>
        </w:rPr>
        <w:t xml:space="preserve">Tuesday, August 4, 2026, before the market opens</w:t>
      </w:r>
      <w:r>
        <w:t xml:space="preserve">, with the earnings call at</w:t>
      </w:r>
      <w:r>
        <w:t xml:space="preserve"> </w:t>
      </w:r>
      <w:r>
        <w:rPr>
          <w:b/>
          <w:bCs/>
        </w:rPr>
        <w:t xml:space="preserve">8:30 a.m. ET</w:t>
      </w:r>
      <w:r>
        <w:t xml:space="preserve">. Since today is August 4, the report is scheduled for</w:t>
      </w:r>
      <w:r>
        <w:t xml:space="preserve"> </w:t>
      </w:r>
      <w:r>
        <w:rPr>
          <w:b/>
          <w:bCs/>
        </w:rPr>
        <w:t xml:space="preserve">today</w:t>
      </w:r>
      <w:r>
        <w:t xml:space="preserve">, not tomorrow.</w:t>
      </w:r>
    </w:p>
    <w:bookmarkStart w:id="9" w:name="investment-setup"/>
    <w:p>
      <w:pPr>
        <w:pStyle w:val="Heading2"/>
      </w:pPr>
      <w:r>
        <w:t xml:space="preserve">Investment setup</w:t>
      </w:r>
    </w:p>
    <w:p>
      <w:pPr>
        <w:pStyle w:val="FirstParagraph"/>
      </w:pPr>
      <w:r>
        <w:t xml:space="preserve">Fidelity National Information Services enters Q2 with strong operating momentum but unusually low investor confidence. First-quarter revenue, margins, adjusted EPS and free cash flow exceeded management’s expectations, yet the shares fell approximately 8% on earnings day and closed August 3 at</w:t>
      </w:r>
      <w:r>
        <w:t xml:space="preserve"> </w:t>
      </w:r>
      <w:r>
        <w:rPr>
          <w:b/>
          <w:bCs/>
        </w:rPr>
        <w:t xml:space="preserve">$44.79</w:t>
      </w:r>
      <w:r>
        <w:t xml:space="preserve">—down about</w:t>
      </w:r>
      <w:r>
        <w:t xml:space="preserve"> </w:t>
      </w:r>
      <w:r>
        <w:rPr>
          <w:b/>
          <w:bCs/>
        </w:rPr>
        <w:t xml:space="preserve">32% year to date</w:t>
      </w:r>
      <w:r>
        <w:t xml:space="preserve">.</w:t>
      </w:r>
    </w:p>
    <w:p>
      <w:pPr>
        <w:pStyle w:val="BodyText"/>
      </w:pPr>
      <w:r>
        <w:t xml:space="preserve">That disconnect defines the setup:</w:t>
      </w:r>
    </w:p>
    <w:p>
      <w:pPr>
        <w:pStyle w:val="Compact"/>
        <w:numPr>
          <w:ilvl w:val="0"/>
          <w:numId w:val="1001"/>
        </w:numPr>
      </w:pPr>
      <w:r>
        <w:t xml:space="preserve">The operating business appears to be growing at a mid-single-digit pro forma rate, with healthy bookings and expanding margins.</w:t>
      </w:r>
    </w:p>
    <w:p>
      <w:pPr>
        <w:pStyle w:val="Compact"/>
        <w:numPr>
          <w:ilvl w:val="0"/>
          <w:numId w:val="1001"/>
        </w:numPr>
      </w:pPr>
      <w:r>
        <w:t xml:space="preserve">The acquisition of Global Payments’ Issuer Solutions business—now</w:t>
      </w:r>
      <w:r>
        <w:t xml:space="preserve"> </w:t>
      </w:r>
      <w:r>
        <w:rPr>
          <w:b/>
          <w:bCs/>
        </w:rPr>
        <w:t xml:space="preserve">FIS Total Issuing Solutions</w:t>
      </w:r>
      <w:r>
        <w:t xml:space="preserve">—has increased debt and made year-over-year comparisons more complicated.</w:t>
      </w:r>
    </w:p>
    <w:p>
      <w:pPr>
        <w:pStyle w:val="Compact"/>
        <w:numPr>
          <w:ilvl w:val="0"/>
          <w:numId w:val="1001"/>
        </w:numPr>
      </w:pPr>
      <w:r>
        <w:t xml:space="preserve">Investors remain skeptical about integration execution, the required second-half margin ramp and the timing of deleveraging.</w:t>
      </w:r>
    </w:p>
    <w:p>
      <w:pPr>
        <w:pStyle w:val="Compact"/>
        <w:numPr>
          <w:ilvl w:val="0"/>
          <w:numId w:val="1001"/>
        </w:numPr>
      </w:pPr>
      <w:r>
        <w:t xml:space="preserve">At roughly</w:t>
      </w:r>
      <w:r>
        <w:t xml:space="preserve"> </w:t>
      </w:r>
      <w:r>
        <w:rPr>
          <w:b/>
          <w:bCs/>
        </w:rPr>
        <w:t xml:space="preserve">7.1x the midpoint of 2026 adjusted EPS guidance</w:t>
      </w:r>
      <w:r>
        <w:t xml:space="preserve">, the stock already reflects considerable concern. A merely in-line quarter may not be enough; management likely needs to reinforce confidence in the full-year outlook and cash-generation story.</w:t>
      </w:r>
    </w:p>
    <w:bookmarkEnd w:id="9"/>
    <w:bookmarkStart w:id="10" w:name="q2-benchmarks"/>
    <w:p>
      <w:pPr>
        <w:pStyle w:val="Heading2"/>
      </w:pPr>
      <w:r>
        <w:t xml:space="preserve">Q2 benchmarks</w:t>
      </w:r>
    </w:p>
    <w:p>
      <w:pPr>
        <w:pStyle w:val="FirstParagraph"/>
      </w:pPr>
      <w:r>
        <w:t xml:space="preserve">The most relevant benchmark is management’s guidance rather than headline year-over-year growth, which is heavily affected by the Total Issuing acquisition.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FIS Q2 guidance</w:t>
            </w:r>
          </w:p>
        </w:tc>
        <w:tc>
          <w:tcPr/>
          <w:p>
            <w:pPr>
              <w:pStyle w:val="Compact"/>
            </w:pPr>
            <w:r>
              <w:t xml:space="preserve">What matters</w:t>
            </w:r>
          </w:p>
        </w:tc>
      </w:tr>
      <w:tr>
        <w:tc>
          <w:tcPr/>
          <w:p>
            <w:pPr>
              <w:pStyle w:val="Compact"/>
            </w:pPr>
            <w:r>
              <w:t xml:space="preserve">Revenue</w:t>
            </w:r>
          </w:p>
        </w:tc>
        <w:tc>
          <w:tcPr/>
          <w:p>
            <w:pPr>
              <w:pStyle w:val="Compact"/>
              <w:jc w:val="right"/>
            </w:pPr>
            <m:oMath>
              <m:r>
                <m:t>3.375</m:t>
              </m:r>
              <m:r>
                <m:t>B</m:t>
              </m:r>
              <m:r>
                <m:rPr>
                  <m:sty m:val="p"/>
                </m:rPr>
                <m:t>–</m:t>
              </m:r>
            </m:oMath>
            <w:r>
              <w:rPr>
                <w:b/>
                <w:bCs/>
              </w:rPr>
              <w:t xml:space="preserve">3.395B</w:t>
            </w:r>
          </w:p>
        </w:tc>
        <w:tc>
          <w:tcPr/>
          <w:p>
            <w:pPr>
              <w:pStyle w:val="Compact"/>
            </w:pPr>
            <w:r>
              <w:t xml:space="preserve">Approximately 4.9%–5.5% pro forma growth</w:t>
            </w:r>
          </w:p>
        </w:tc>
      </w:tr>
      <w:tr>
        <w:tc>
          <w:tcPr/>
          <w:p>
            <w:pPr>
              <w:pStyle w:val="Compact"/>
            </w:pPr>
            <w:r>
              <w:t xml:space="preserve">Adjusted EBITDA</w:t>
            </w:r>
          </w:p>
        </w:tc>
        <w:tc>
          <w:tcPr/>
          <w:p>
            <w:pPr>
              <w:pStyle w:val="Compact"/>
              <w:jc w:val="right"/>
            </w:pPr>
            <m:oMath>
              <m:r>
                <m:t>1.395</m:t>
              </m:r>
              <m:r>
                <m:t>B</m:t>
              </m:r>
              <m:r>
                <m:rPr>
                  <m:sty m:val="p"/>
                </m:rPr>
                <m:t>–</m:t>
              </m:r>
            </m:oMath>
            <w:r>
              <w:rPr>
                <w:b/>
                <w:bCs/>
              </w:rPr>
              <w:t xml:space="preserve">1.415B</w:t>
            </w:r>
          </w:p>
        </w:tc>
        <w:tc>
          <w:tcPr/>
          <w:p>
            <w:pPr>
              <w:pStyle w:val="Compact"/>
            </w:pPr>
            <w:r>
              <w:t xml:space="preserve">Midpoint margin of approximately 41.5%</w:t>
            </w:r>
          </w:p>
        </w:tc>
      </w:tr>
      <w:tr>
        <w:tc>
          <w:tcPr/>
          <w:p>
            <w:pPr>
              <w:pStyle w:val="Compact"/>
            </w:pPr>
            <w:r>
              <w:t xml:space="preserve">Adjusted EPS</w:t>
            </w:r>
          </w:p>
        </w:tc>
        <w:tc>
          <w:tcPr/>
          <w:p>
            <w:pPr>
              <w:pStyle w:val="Compact"/>
              <w:jc w:val="right"/>
            </w:pPr>
            <m:oMath>
              <m:r>
                <m:t>1.45</m:t>
              </m:r>
              <m:r>
                <m:rPr>
                  <m:sty m:val="p"/>
                </m:rPr>
                <m:t>–</m:t>
              </m:r>
            </m:oMath>
            <w:r>
              <w:rPr>
                <w:b/>
                <w:bCs/>
              </w:rPr>
              <w:t xml:space="preserve">1.49</w:t>
            </w:r>
          </w:p>
        </w:tc>
        <w:tc>
          <w:tcPr/>
          <w:p>
            <w:pPr>
              <w:pStyle w:val="Compact"/>
            </w:pPr>
            <w:r>
              <w:t xml:space="preserve">7%–10% year-over-year growth</w:t>
            </w:r>
          </w:p>
        </w:tc>
      </w:tr>
      <w:tr>
        <w:tc>
          <w:tcPr/>
          <w:p>
            <w:pPr>
              <w:pStyle w:val="Compact"/>
            </w:pPr>
            <w:r>
              <w:t xml:space="preserve">Banking pro forma growth</w:t>
            </w:r>
          </w:p>
        </w:tc>
        <w:tc>
          <w:tcPr/>
          <w:p>
            <w:pPr>
              <w:pStyle w:val="Compact"/>
              <w:jc w:val="right"/>
            </w:pPr>
            <w:r>
              <w:rPr>
                <w:b/>
                <w:bCs/>
              </w:rPr>
              <w:t xml:space="preserve">5.5%–6.0%</w:t>
            </w:r>
          </w:p>
        </w:tc>
        <w:tc>
          <w:tcPr/>
          <w:p>
            <w:pPr>
              <w:pStyle w:val="Compact"/>
            </w:pPr>
            <w:r>
              <w:t xml:space="preserve">Recurring growth expected near 5%</w:t>
            </w:r>
          </w:p>
        </w:tc>
      </w:tr>
      <w:tr>
        <w:tc>
          <w:tcPr/>
          <w:p>
            <w:pPr>
              <w:pStyle w:val="Compact"/>
            </w:pPr>
            <w:r>
              <w:t xml:space="preserve">Capital Markets pro forma growth</w:t>
            </w:r>
          </w:p>
        </w:tc>
        <w:tc>
          <w:tcPr/>
          <w:p>
            <w:pPr>
              <w:pStyle w:val="Compact"/>
              <w:jc w:val="right"/>
            </w:pPr>
            <w:r>
              <w:rPr>
                <w:b/>
                <w:bCs/>
              </w:rPr>
              <w:t xml:space="preserve">3.0%–4.0%</w:t>
            </w:r>
          </w:p>
        </w:tc>
        <w:tc>
          <w:tcPr/>
          <w:p>
            <w:pPr>
              <w:pStyle w:val="Compact"/>
            </w:pPr>
            <w:r>
              <w:t xml:space="preserve">Recurring revenue should grow faster than total revenue</w:t>
            </w:r>
          </w:p>
        </w:tc>
      </w:tr>
      <w:tr>
        <w:tc>
          <w:tcPr/>
          <w:p>
            <w:pPr>
              <w:pStyle w:val="Compact"/>
            </w:pPr>
            <w:r>
              <w:t xml:space="preserve">Pro forma EBITDA-margin expansion</w:t>
            </w:r>
          </w:p>
        </w:tc>
        <w:tc>
          <w:tcPr/>
          <w:p>
            <w:pPr>
              <w:pStyle w:val="Compact"/>
              <w:jc w:val="right"/>
            </w:pPr>
            <w:r>
              <w:rPr>
                <w:b/>
                <w:bCs/>
              </w:rPr>
              <w:t xml:space="preserve">75–110 bps</w:t>
            </w:r>
          </w:p>
        </w:tc>
        <w:tc>
          <w:tcPr/>
          <w:p>
            <w:pPr>
              <w:pStyle w:val="Compact"/>
            </w:pPr>
            <w:r>
              <w:t xml:space="preserve">Reported margin expansion should be about 170 bps</w:t>
            </w:r>
          </w:p>
        </w:tc>
      </w:tr>
    </w:tbl>
    <w:p>
      <w:pPr>
        <w:pStyle w:val="BodyText"/>
      </w:pPr>
      <w:r>
        <w:t xml:space="preserve">Full-year guidance currently calls for:</w:t>
      </w:r>
    </w:p>
    <w:p>
      <w:pPr>
        <w:pStyle w:val="Compact"/>
        <w:numPr>
          <w:ilvl w:val="0"/>
          <w:numId w:val="1002"/>
        </w:numPr>
      </w:pPr>
      <w:r>
        <w:t xml:space="preserve">Revenue of</w:t>
      </w:r>
      <w:r>
        <w:t xml:space="preserve"> </w:t>
      </w:r>
      <m:oMath>
        <m:r>
          <m:t>13.77</m:t>
        </m:r>
        <m:r>
          <m:t>B</m:t>
        </m:r>
        <m:r>
          <m:rPr>
            <m:sty m:val="p"/>
          </m:rPr>
          <m:t>–</m:t>
        </m:r>
      </m:oMath>
      <w:r>
        <w:rPr>
          <w:b/>
          <w:bCs/>
        </w:rPr>
        <w:t xml:space="preserve">13.85B</w:t>
      </w:r>
    </w:p>
    <w:p>
      <w:pPr>
        <w:pStyle w:val="Compact"/>
        <w:numPr>
          <w:ilvl w:val="0"/>
          <w:numId w:val="1002"/>
        </w:numPr>
      </w:pPr>
      <w:r>
        <w:t xml:space="preserve">Adjusted EBITDA of</w:t>
      </w:r>
      <w:r>
        <w:t xml:space="preserve"> </w:t>
      </w:r>
      <m:oMath>
        <m:r>
          <m:t>5.80</m:t>
        </m:r>
        <m:r>
          <m:t>B</m:t>
        </m:r>
        <m:r>
          <m:rPr>
            <m:sty m:val="p"/>
          </m:rPr>
          <m:t>–</m:t>
        </m:r>
      </m:oMath>
      <w:r>
        <w:rPr>
          <w:b/>
          <w:bCs/>
        </w:rPr>
        <w:t xml:space="preserve">5.86B</w:t>
      </w:r>
    </w:p>
    <w:p>
      <w:pPr>
        <w:pStyle w:val="Compact"/>
        <w:numPr>
          <w:ilvl w:val="0"/>
          <w:numId w:val="1002"/>
        </w:numPr>
      </w:pPr>
      <w:r>
        <w:t xml:space="preserve">Adjusted EPS of</w:t>
      </w:r>
      <w:r>
        <w:t xml:space="preserve"> </w:t>
      </w:r>
      <m:oMath>
        <m:r>
          <m:t>6.22</m:t>
        </m:r>
        <m:r>
          <m:rPr>
            <m:sty m:val="p"/>
          </m:rPr>
          <m:t>–</m:t>
        </m:r>
      </m:oMath>
      <w:r>
        <w:rPr>
          <w:b/>
          <w:bCs/>
        </w:rPr>
        <w:t xml:space="preserve">6.32</w:t>
      </w:r>
    </w:p>
    <w:p>
      <w:pPr>
        <w:pStyle w:val="Compact"/>
        <w:numPr>
          <w:ilvl w:val="0"/>
          <w:numId w:val="1002"/>
        </w:numPr>
      </w:pPr>
      <w:r>
        <w:t xml:space="preserve">Pro forma revenue growth of</w:t>
      </w:r>
      <w:r>
        <w:t xml:space="preserve"> </w:t>
      </w:r>
      <w:r>
        <w:rPr>
          <w:b/>
          <w:bCs/>
        </w:rPr>
        <w:t xml:space="preserve">5.1%–5.7%</w:t>
      </w:r>
    </w:p>
    <w:p>
      <w:pPr>
        <w:pStyle w:val="Compact"/>
        <w:numPr>
          <w:ilvl w:val="0"/>
          <w:numId w:val="1002"/>
        </w:numPr>
      </w:pPr>
      <w:r>
        <w:t xml:space="preserve">Pro forma adjusted EBITDA growth of</w:t>
      </w:r>
      <w:r>
        <w:t xml:space="preserve"> </w:t>
      </w:r>
      <w:r>
        <w:rPr>
          <w:b/>
          <w:bCs/>
        </w:rPr>
        <w:t xml:space="preserve">7.2%–8.4%</w:t>
      </w:r>
    </w:p>
    <w:p>
      <w:pPr>
        <w:pStyle w:val="Compact"/>
        <w:numPr>
          <w:ilvl w:val="0"/>
          <w:numId w:val="1002"/>
        </w:numPr>
      </w:pPr>
      <w:r>
        <w:t xml:space="preserve">Free cash flow of</w:t>
      </w:r>
      <w:r>
        <w:t xml:space="preserve"> </w:t>
      </w:r>
      <m:oMath>
        <m:r>
          <m:t>2.05</m:t>
        </m:r>
        <m:r>
          <m:t>B</m:t>
        </m:r>
        <m:r>
          <m:rPr>
            <m:sty m:val="p"/>
          </m:rPr>
          <m:t>–</m:t>
        </m:r>
      </m:oMath>
      <w:r>
        <w:rPr>
          <w:b/>
          <w:bCs/>
        </w:rPr>
        <w:t xml:space="preserve">2.15B</w:t>
      </w:r>
    </w:p>
    <w:bookmarkEnd w:id="10"/>
    <w:bookmarkStart w:id="16" w:name="Xef546253579ef8c916259a1db92df85cdd0c784"/>
    <w:p>
      <w:pPr>
        <w:pStyle w:val="Heading2"/>
      </w:pPr>
      <w:r>
        <w:t xml:space="preserve">The five issues that should drive the reaction</w:t>
      </w:r>
    </w:p>
    <w:bookmarkStart w:id="11" w:name="Xc9705f33e5d6bde8feb3c64f00a07506a8895e9"/>
    <w:p>
      <w:pPr>
        <w:pStyle w:val="Heading3"/>
      </w:pPr>
      <w:r>
        <w:t xml:space="preserve">1. Is Banking’s underlying growth holding near 5%?</w:t>
      </w:r>
    </w:p>
    <w:p>
      <w:pPr>
        <w:pStyle w:val="FirstParagraph"/>
      </w:pPr>
      <w:r>
        <w:t xml:space="preserve">Banking Solutions is now approximately three-quarters of segment revenue and is the central driver of the FIS thesis.</w:t>
      </w:r>
    </w:p>
    <w:p>
      <w:pPr>
        <w:pStyle w:val="BodyText"/>
      </w:pPr>
      <w:r>
        <w:t xml:space="preserve">Q1 Banking pro forma revenue grew 7.7%, but that included unusually strong nonrecurring license revenue from two distribution agreements. The cleaner recurring-revenue measure grew 5.2%, and management indicated that Q2 should be in a similar range.</w:t>
      </w:r>
    </w:p>
    <w:p>
      <w:pPr>
        <w:pStyle w:val="BodyText"/>
      </w:pPr>
      <w:r>
        <w:t xml:space="preserve">The positive indicators are strong:</w:t>
      </w:r>
    </w:p>
    <w:p>
      <w:pPr>
        <w:pStyle w:val="Compact"/>
        <w:numPr>
          <w:ilvl w:val="0"/>
          <w:numId w:val="1003"/>
        </w:numPr>
      </w:pPr>
      <w:r>
        <w:t xml:space="preserve">Banking recurring ACV increased 13% in Q1.</w:t>
      </w:r>
    </w:p>
    <w:p>
      <w:pPr>
        <w:pStyle w:val="Compact"/>
        <w:numPr>
          <w:ilvl w:val="0"/>
          <w:numId w:val="1003"/>
        </w:numPr>
      </w:pPr>
      <w:r>
        <w:t xml:space="preserve">Money Movement Hub ACV tripled.</w:t>
      </w:r>
    </w:p>
    <w:p>
      <w:pPr>
        <w:pStyle w:val="Compact"/>
        <w:numPr>
          <w:ilvl w:val="0"/>
          <w:numId w:val="1003"/>
        </w:numPr>
      </w:pPr>
      <w:r>
        <w:t xml:space="preserve">Lending ACV grew 63%.</w:t>
      </w:r>
    </w:p>
    <w:p>
      <w:pPr>
        <w:pStyle w:val="Compact"/>
        <w:numPr>
          <w:ilvl w:val="0"/>
          <w:numId w:val="1003"/>
        </w:numPr>
      </w:pPr>
      <w:r>
        <w:t xml:space="preserve">Digital ACV increased 25%.</w:t>
      </w:r>
    </w:p>
    <w:p>
      <w:pPr>
        <w:pStyle w:val="Compact"/>
        <w:numPr>
          <w:ilvl w:val="0"/>
          <w:numId w:val="1003"/>
        </w:numPr>
      </w:pPr>
      <w:r>
        <w:t xml:space="preserve">Management described bank technology budgets and client demand as healthy.</w:t>
      </w:r>
    </w:p>
    <w:p>
      <w:pPr>
        <w:pStyle w:val="FirstParagraph"/>
      </w:pPr>
      <w:r>
        <w:t xml:space="preserve">Investors should distinguish recurring growth from licenses and other episodic revenue. A Banking result near the 5.5%–6.0% total-growth target, supported by approximately 5% recurring growth, would be constructive. Weak recurring revenue masked by licenses would be less reassuring.</w:t>
      </w:r>
    </w:p>
    <w:bookmarkEnd w:id="11"/>
    <w:bookmarkStart w:id="12" w:name="X342f2c6ee99025e1defe9cfb0f4107b4e33063d"/>
    <w:p>
      <w:pPr>
        <w:pStyle w:val="Heading3"/>
      </w:pPr>
      <w:r>
        <w:t xml:space="preserve">2. Can Capital Markets overcome lending and license-timing headwinds?</w:t>
      </w:r>
    </w:p>
    <w:p>
      <w:pPr>
        <w:pStyle w:val="FirstParagraph"/>
      </w:pPr>
      <w:r>
        <w:t xml:space="preserve">Capital Markets was the principal soft spot in Q1. Pro forma revenue grew 2.9%, including a 125-basis-point benefit from a license sale that moved forward from Q2. Recurring growth was 3.6% and was reduced by approximately 130 basis points from softer loan-syndication and debt-issuance activity.</w:t>
      </w:r>
    </w:p>
    <w:p>
      <w:pPr>
        <w:pStyle w:val="BodyText"/>
      </w:pPr>
      <w:r>
        <w:t xml:space="preserve">For Q2, management incorporated:</w:t>
      </w:r>
    </w:p>
    <w:p>
      <w:pPr>
        <w:pStyle w:val="Compact"/>
        <w:numPr>
          <w:ilvl w:val="0"/>
          <w:numId w:val="1004"/>
        </w:numPr>
      </w:pPr>
      <w:r>
        <w:t xml:space="preserve">A</w:t>
      </w:r>
      <w:r>
        <w:t xml:space="preserve"> </w:t>
      </w:r>
      <w:r>
        <w:rPr>
          <w:b/>
          <w:bCs/>
        </w:rPr>
        <w:t xml:space="preserve">125-basis-point headwind</w:t>
      </w:r>
      <w:r>
        <w:t xml:space="preserve"> </w:t>
      </w:r>
      <w:r>
        <w:t xml:space="preserve">from the license timing shift.</w:t>
      </w:r>
    </w:p>
    <w:p>
      <w:pPr>
        <w:pStyle w:val="Compact"/>
        <w:numPr>
          <w:ilvl w:val="0"/>
          <w:numId w:val="1004"/>
        </w:numPr>
      </w:pPr>
      <w:r>
        <w:t xml:space="preserve">Approximately</w:t>
      </w:r>
      <w:r>
        <w:t xml:space="preserve"> </w:t>
      </w:r>
      <w:r>
        <w:rPr>
          <w:b/>
          <w:bCs/>
        </w:rPr>
        <w:t xml:space="preserve">50 basis points of pressure</w:t>
      </w:r>
      <w:r>
        <w:t xml:space="preserve"> </w:t>
      </w:r>
      <w:r>
        <w:t xml:space="preserve">from softer lending volumes.</w:t>
      </w:r>
    </w:p>
    <w:p>
      <w:pPr>
        <w:pStyle w:val="Compact"/>
        <w:numPr>
          <w:ilvl w:val="0"/>
          <w:numId w:val="1004"/>
        </w:numPr>
      </w:pPr>
      <w:r>
        <w:t xml:space="preserve">Total pro forma growth of 3%–4%.</w:t>
      </w:r>
    </w:p>
    <w:p>
      <w:pPr>
        <w:pStyle w:val="Compact"/>
        <w:numPr>
          <w:ilvl w:val="0"/>
          <w:numId w:val="1004"/>
        </w:numPr>
      </w:pPr>
      <w:r>
        <w:t xml:space="preserve">Recurring growth around the mid-single digits and faster than total segment growth.</w:t>
      </w:r>
    </w:p>
    <w:p>
      <w:pPr>
        <w:pStyle w:val="FirstParagraph"/>
      </w:pPr>
      <w:r>
        <w:t xml:space="preserve">The underlying sales indicators are better than the near-term revenue numbers: Capital Markets recurring ACV rose 45% in Q1 after growing 34% in Q4. The key question is whether those bookings are beginning to convert into accelerating recurring revenue, or whether implementation timing and weak capital-markets activity are pushing the benefit further into 2027.</w:t>
      </w:r>
    </w:p>
    <w:bookmarkEnd w:id="12"/>
    <w:bookmarkStart w:id="13" w:name="Xf068b7400d34d2c8b2e4f33e9af61c3f367a35f"/>
    <w:p>
      <w:pPr>
        <w:pStyle w:val="Heading3"/>
      </w:pPr>
      <w:r>
        <w:t xml:space="preserve">3. Total Issuing integration and synergies need to become visible</w:t>
      </w:r>
    </w:p>
    <w:p>
      <w:pPr>
        <w:pStyle w:val="FirstParagraph"/>
      </w:pPr>
      <w:r>
        <w:t xml:space="preserve">Q2 is the first quarter in which investors should receive a substantive synergy update following the January 9 acquisition.</w:t>
      </w:r>
    </w:p>
    <w:p>
      <w:pPr>
        <w:pStyle w:val="BodyText"/>
      </w:pPr>
      <w:r>
        <w:t xml:space="preserve">FIS has targeted:</w:t>
      </w:r>
    </w:p>
    <w:p>
      <w:pPr>
        <w:pStyle w:val="Compact"/>
        <w:numPr>
          <w:ilvl w:val="0"/>
          <w:numId w:val="1005"/>
        </w:numPr>
      </w:pPr>
      <w:r>
        <w:rPr>
          <w:b/>
          <w:bCs/>
        </w:rPr>
        <w:t xml:space="preserve">$125 million of long-term cost synergies</w:t>
      </w:r>
    </w:p>
    <w:p>
      <w:pPr>
        <w:pStyle w:val="Compact"/>
        <w:numPr>
          <w:ilvl w:val="0"/>
          <w:numId w:val="1005"/>
        </w:numPr>
      </w:pPr>
      <m:oMath>
        <m:r>
          <m:t>30</m:t>
        </m:r>
        <m:r>
          <m:t>m</m:t>
        </m:r>
        <m:r>
          <m:t>i</m:t>
        </m:r>
        <m:r>
          <m:t>l</m:t>
        </m:r>
        <m:r>
          <m:t>l</m:t>
        </m:r>
        <m:r>
          <m:t>i</m:t>
        </m:r>
        <m:r>
          <m:t>o</m:t>
        </m:r>
        <m:r>
          <m:t>n</m:t>
        </m:r>
        <m:r>
          <m:rPr>
            <m:sty m:val="p"/>
          </m:rPr>
          <m:t>–</m:t>
        </m:r>
      </m:oMath>
      <w:r>
        <w:rPr>
          <w:b/>
          <w:bCs/>
        </w:rPr>
        <w:t xml:space="preserve">40 million of cost synergies in 2026</w:t>
      </w:r>
    </w:p>
    <w:p>
      <w:pPr>
        <w:pStyle w:val="Compact"/>
        <w:numPr>
          <w:ilvl w:val="0"/>
          <w:numId w:val="1005"/>
        </w:numPr>
      </w:pPr>
      <w:r>
        <w:t xml:space="preserve">A separate</w:t>
      </w:r>
      <w:r>
        <w:t xml:space="preserve"> </w:t>
      </w:r>
      <w:r>
        <w:rPr>
          <w:b/>
          <w:bCs/>
        </w:rPr>
        <w:t xml:space="preserve">$125 million long-term revenue-synergy opportunity</w:t>
      </w:r>
    </w:p>
    <w:p>
      <w:pPr>
        <w:pStyle w:val="Compact"/>
        <w:numPr>
          <w:ilvl w:val="0"/>
          <w:numId w:val="1005"/>
        </w:numPr>
      </w:pPr>
      <w:r>
        <w:t xml:space="preserve">Approximately</w:t>
      </w:r>
      <w:r>
        <w:t xml:space="preserve"> </w:t>
      </w:r>
      <w:r>
        <w:rPr>
          <w:b/>
          <w:bCs/>
        </w:rPr>
        <w:t xml:space="preserve">$45 million of revenue synergies by 2028</w:t>
      </w:r>
    </w:p>
    <w:p>
      <w:pPr>
        <w:pStyle w:val="FirstParagraph"/>
      </w:pPr>
      <w:r>
        <w:t xml:space="preserve">Only around $1 million of cost synergies was recognized in Q1, with management expecting the majority of 2026 savings in the second half. That makes this report an important checkpoint.</w:t>
      </w:r>
    </w:p>
    <w:p>
      <w:pPr>
        <w:pStyle w:val="BodyText"/>
      </w:pPr>
      <w:r>
        <w:t xml:space="preserve">Investors should look for:</w:t>
      </w:r>
    </w:p>
    <w:p>
      <w:pPr>
        <w:pStyle w:val="Compact"/>
        <w:numPr>
          <w:ilvl w:val="0"/>
          <w:numId w:val="1006"/>
        </w:numPr>
      </w:pPr>
      <w:r>
        <w:t xml:space="preserve">Quantified Q2 cost savings.</w:t>
      </w:r>
    </w:p>
    <w:p>
      <w:pPr>
        <w:pStyle w:val="Compact"/>
        <w:numPr>
          <w:ilvl w:val="0"/>
          <w:numId w:val="1006"/>
        </w:numPr>
      </w:pPr>
      <w:r>
        <w:t xml:space="preserve">Confirmation of the</w:t>
      </w:r>
      <w:r>
        <w:t xml:space="preserve"> </w:t>
      </w:r>
      <m:oMath>
        <m:r>
          <m:t>30</m:t>
        </m:r>
        <m:r>
          <m:t>m</m:t>
        </m:r>
        <m:r>
          <m:t>i</m:t>
        </m:r>
        <m:r>
          <m:t>l</m:t>
        </m:r>
        <m:r>
          <m:t>l</m:t>
        </m:r>
        <m:r>
          <m:t>i</m:t>
        </m:r>
        <m:r>
          <m:t>o</m:t>
        </m:r>
        <m:r>
          <m:t>n</m:t>
        </m:r>
        <m:r>
          <m:rPr>
            <m:sty m:val="p"/>
          </m:rPr>
          <m:t>–</m:t>
        </m:r>
      </m:oMath>
      <w:r>
        <w:t xml:space="preserve">40 million 2026 target.</w:t>
      </w:r>
    </w:p>
    <w:p>
      <w:pPr>
        <w:pStyle w:val="Compact"/>
        <w:numPr>
          <w:ilvl w:val="0"/>
          <w:numId w:val="1006"/>
        </w:numPr>
      </w:pPr>
      <w:r>
        <w:t xml:space="preserve">Evidence that integration expenses remain controlled.</w:t>
      </w:r>
    </w:p>
    <w:p>
      <w:pPr>
        <w:pStyle w:val="Compact"/>
        <w:numPr>
          <w:ilvl w:val="0"/>
          <w:numId w:val="1006"/>
        </w:numPr>
      </w:pPr>
      <w:r>
        <w:t xml:space="preserve">Contract renewals and customer-retention commentary.</w:t>
      </w:r>
    </w:p>
    <w:p>
      <w:pPr>
        <w:pStyle w:val="Compact"/>
        <w:numPr>
          <w:ilvl w:val="0"/>
          <w:numId w:val="1006"/>
        </w:numPr>
      </w:pPr>
      <w:r>
        <w:t xml:space="preserve">Early cross-selling between FIS core/debit products and Total Issuing’s credit-card capabilities.</w:t>
      </w:r>
    </w:p>
    <w:p>
      <w:pPr>
        <w:pStyle w:val="FirstParagraph"/>
      </w:pPr>
      <w:r>
        <w:t xml:space="preserve">Revenue synergies are not expected to contribute meaningfully in 2026, so management should not need to rely on them to support current guidance.</w:t>
      </w:r>
    </w:p>
    <w:bookmarkEnd w:id="13"/>
    <w:bookmarkStart w:id="14" w:name="X7023208b02caee75c1ca1ccfc4ef4f2f3e95b99"/>
    <w:p>
      <w:pPr>
        <w:pStyle w:val="Heading3"/>
      </w:pPr>
      <w:r>
        <w:t xml:space="preserve">4. Free cash flow and deleveraging may matter more than EPS</w:t>
      </w:r>
    </w:p>
    <w:p>
      <w:pPr>
        <w:pStyle w:val="FirstParagraph"/>
      </w:pPr>
      <w:r>
        <w:t xml:space="preserve">The acquisition increased debt to</w:t>
      </w:r>
      <w:r>
        <w:t xml:space="preserve"> </w:t>
      </w:r>
      <w:r>
        <w:rPr>
          <w:b/>
          <w:bCs/>
        </w:rPr>
        <w:t xml:space="preserve">$21.1 billion</w:t>
      </w:r>
      <w:r>
        <w:t xml:space="preserve"> </w:t>
      </w:r>
      <w:r>
        <w:t xml:space="preserve">as of March 31, with gross leverage at approximately</w:t>
      </w:r>
      <w:r>
        <w:t xml:space="preserve"> </w:t>
      </w:r>
      <w:r>
        <w:rPr>
          <w:b/>
          <w:bCs/>
        </w:rPr>
        <w:t xml:space="preserve">3.6x</w:t>
      </w:r>
      <w:r>
        <w:t xml:space="preserve">. Interest expense rose to $197 million in Q1 from $80 million a year earlier.</w:t>
      </w:r>
    </w:p>
    <w:p>
      <w:pPr>
        <w:pStyle w:val="BodyText"/>
      </w:pPr>
      <w:r>
        <w:t xml:space="preserve">FIS generated $474 million of adjusted free cash flow in Q1, more than double the prior-year result and already about 23% of the annual target. Management also said it expected strong Q2 cash generation.</w:t>
      </w:r>
    </w:p>
    <w:p>
      <w:pPr>
        <w:pStyle w:val="BodyText"/>
      </w:pPr>
      <w:r>
        <w:t xml:space="preserve">The cash-flow discussion should focus on:</w:t>
      </w:r>
    </w:p>
    <w:p>
      <w:pPr>
        <w:pStyle w:val="Compact"/>
        <w:numPr>
          <w:ilvl w:val="0"/>
          <w:numId w:val="1007"/>
        </w:numPr>
      </w:pPr>
      <w:r>
        <w:t xml:space="preserve">Progress toward the</w:t>
      </w:r>
      <w:r>
        <w:t xml:space="preserve"> </w:t>
      </w:r>
      <m:oMath>
        <m:r>
          <m:t>2.05</m:t>
        </m:r>
        <m:r>
          <m:t>B</m:t>
        </m:r>
        <m:r>
          <m:rPr>
            <m:sty m:val="p"/>
          </m:rPr>
          <m:t>–</m:t>
        </m:r>
      </m:oMath>
      <w:r>
        <w:rPr>
          <w:b/>
          <w:bCs/>
        </w:rPr>
        <w:t xml:space="preserve">2.15B</w:t>
      </w:r>
      <w:r>
        <w:t xml:space="preserve"> </w:t>
      </w:r>
      <w:r>
        <w:t xml:space="preserve">annual target.</w:t>
      </w:r>
    </w:p>
    <w:p>
      <w:pPr>
        <w:pStyle w:val="Compact"/>
        <w:numPr>
          <w:ilvl w:val="0"/>
          <w:numId w:val="1007"/>
        </w:numPr>
      </w:pPr>
      <w:r>
        <w:t xml:space="preserve">Reduction in gross leverage from 3.6x.</w:t>
      </w:r>
    </w:p>
    <w:p>
      <w:pPr>
        <w:pStyle w:val="Compact"/>
        <w:numPr>
          <w:ilvl w:val="0"/>
          <w:numId w:val="1007"/>
        </w:numPr>
      </w:pPr>
      <w:r>
        <w:t xml:space="preserve">Working-capital quality rather than temporary timing benefits.</w:t>
      </w:r>
    </w:p>
    <w:p>
      <w:pPr>
        <w:pStyle w:val="Compact"/>
        <w:numPr>
          <w:ilvl w:val="0"/>
          <w:numId w:val="1007"/>
        </w:numPr>
      </w:pPr>
      <w:r>
        <w:t xml:space="preserve">Integration and transformation cash expenses.</w:t>
      </w:r>
    </w:p>
    <w:p>
      <w:pPr>
        <w:pStyle w:val="Compact"/>
        <w:numPr>
          <w:ilvl w:val="0"/>
          <w:numId w:val="1007"/>
        </w:numPr>
      </w:pPr>
      <w:r>
        <w:t xml:space="preserve">The path to the</w:t>
      </w:r>
      <w:r>
        <w:t xml:space="preserve"> </w:t>
      </w:r>
      <w:r>
        <w:rPr>
          <w:b/>
          <w:bCs/>
        </w:rPr>
        <w:t xml:space="preserve">2.8x gross-leverage target</w:t>
      </w:r>
      <w:r>
        <w:t xml:space="preserve">.</w:t>
      </w:r>
    </w:p>
    <w:p>
      <w:pPr>
        <w:pStyle w:val="FirstParagraph"/>
      </w:pPr>
      <w:r>
        <w:t xml:space="preserve">Share repurchases and tuck-in acquisitions have been paused while FIS deleverages. Reaching 2.8x would allow the company to resume its normal capital-allocation priorities, potentially including meaningful buybacks. With the shares trading at a depressed valuation, the timing of that milestone has considerable equity value.</w:t>
      </w:r>
    </w:p>
    <w:bookmarkEnd w:id="14"/>
    <w:bookmarkStart w:id="15" w:name="X63f5c93882a85dd7fe2113121672f4870ce2599"/>
    <w:p>
      <w:pPr>
        <w:pStyle w:val="Heading3"/>
      </w:pPr>
      <w:r>
        <w:t xml:space="preserve">5. The second-half margin ramp must look credible</w:t>
      </w:r>
    </w:p>
    <w:p>
      <w:pPr>
        <w:pStyle w:val="FirstParagraph"/>
      </w:pPr>
      <w:r>
        <w:t xml:space="preserve">FIS’s full-year guidance implies a significant increase in profitability during the second half.</w:t>
      </w:r>
    </w:p>
    <w:p>
      <w:pPr>
        <w:pStyle w:val="BodyText"/>
      </w:pPr>
      <w:r>
        <w:t xml:space="preserve">After Q1 adjusted EBITDA of $1.304 billion and the Q2 guide, full-year guidance requires approximately:</w:t>
      </w:r>
    </w:p>
    <w:p>
      <w:pPr>
        <w:pStyle w:val="Compact"/>
        <w:numPr>
          <w:ilvl w:val="0"/>
          <w:numId w:val="1008"/>
        </w:numPr>
      </w:pPr>
      <m:oMath>
        <m:r>
          <m:t>7.08</m:t>
        </m:r>
        <m:r>
          <m:t>B</m:t>
        </m:r>
        <m:r>
          <m:rPr>
            <m:sty m:val="p"/>
          </m:rPr>
          <m:t>–</m:t>
        </m:r>
      </m:oMath>
      <w:r>
        <w:rPr>
          <w:b/>
          <w:bCs/>
        </w:rPr>
        <w:t xml:space="preserve">7.18B of second-half revenue</w:t>
      </w:r>
    </w:p>
    <w:p>
      <w:pPr>
        <w:pStyle w:val="Compact"/>
        <w:numPr>
          <w:ilvl w:val="0"/>
          <w:numId w:val="1008"/>
        </w:numPr>
      </w:pPr>
      <m:oMath>
        <m:r>
          <m:t>3.08</m:t>
        </m:r>
        <m:r>
          <m:t>B</m:t>
        </m:r>
        <m:r>
          <m:rPr>
            <m:sty m:val="p"/>
          </m:rPr>
          <m:t>–</m:t>
        </m:r>
      </m:oMath>
      <w:r>
        <w:rPr>
          <w:b/>
          <w:bCs/>
        </w:rPr>
        <w:t xml:space="preserve">3.16B of second-half adjusted EBITDA</w:t>
      </w:r>
    </w:p>
    <w:p>
      <w:pPr>
        <w:pStyle w:val="Compact"/>
        <w:numPr>
          <w:ilvl w:val="0"/>
          <w:numId w:val="1008"/>
        </w:numPr>
      </w:pPr>
      <w:r>
        <w:t xml:space="preserve">An implied second-half adjusted EBITDA margin of roughly</w:t>
      </w:r>
      <w:r>
        <w:t xml:space="preserve"> </w:t>
      </w:r>
      <w:r>
        <w:rPr>
          <w:b/>
          <w:bCs/>
        </w:rPr>
        <w:t xml:space="preserve">43.5%–44.0%</w:t>
      </w:r>
    </w:p>
    <w:p>
      <w:pPr>
        <w:pStyle w:val="Compact"/>
        <w:numPr>
          <w:ilvl w:val="0"/>
          <w:numId w:val="1008"/>
        </w:numPr>
      </w:pPr>
      <m:oMath>
        <m:r>
          <m:t>3.37</m:t>
        </m:r>
        <m:r>
          <m:rPr>
            <m:sty m:val="p"/>
          </m:rPr>
          <m:t>–</m:t>
        </m:r>
      </m:oMath>
      <w:r>
        <w:rPr>
          <w:b/>
          <w:bCs/>
        </w:rPr>
        <w:t xml:space="preserve">3.51 of second-half adjusted EPS</w:t>
      </w:r>
    </w:p>
    <w:p>
      <w:pPr>
        <w:pStyle w:val="FirstParagraph"/>
      </w:pPr>
      <w:r>
        <w:t xml:space="preserve">That is a meaningful step up from Q1’s 39.6% margin and the approximately 41.5% Q2 midpoint. The ramp is supposed to come from product mix, enterprise cost savings and Total Issuing synergies.</w:t>
      </w:r>
    </w:p>
    <w:p>
      <w:pPr>
        <w:pStyle w:val="BodyText"/>
      </w:pPr>
      <w:r>
        <w:t xml:space="preserve">Maintaining full-year guidance without explaining this bridge may not satisfy investors. The market will likely want concrete evidence that cost savings are already flowing and that the improvement does not depend on optimistic fourth-quarter assumptions.</w:t>
      </w:r>
    </w:p>
    <w:bookmarkEnd w:id="15"/>
    <w:bookmarkEnd w:id="16"/>
    <w:bookmarkStart w:id="17" w:name="X94e53570b2913bb6f843fb5d00c5802cab94f82"/>
    <w:p>
      <w:pPr>
        <w:pStyle w:val="Heading2"/>
      </w:pPr>
      <w:r>
        <w:t xml:space="preserve">AI and digital assets: strategically relevant, but not yet material to guidance</w:t>
      </w:r>
    </w:p>
    <w:p>
      <w:pPr>
        <w:pStyle w:val="FirstParagraph"/>
      </w:pPr>
      <w:r>
        <w:t xml:space="preserve">FIS has emphasized several new initiatives:</w:t>
      </w:r>
    </w:p>
    <w:p>
      <w:pPr>
        <w:pStyle w:val="Compact"/>
        <w:numPr>
          <w:ilvl w:val="0"/>
          <w:numId w:val="1009"/>
        </w:numPr>
      </w:pPr>
      <w:r>
        <w:t xml:space="preserve">Its Anthropic partnership and financial-crimes investigation agent.</w:t>
      </w:r>
    </w:p>
    <w:p>
      <w:pPr>
        <w:pStyle w:val="Compact"/>
        <w:numPr>
          <w:ilvl w:val="0"/>
          <w:numId w:val="1009"/>
        </w:numPr>
      </w:pPr>
      <w:r>
        <w:t xml:space="preserve">A broader data and AI platform.</w:t>
      </w:r>
    </w:p>
    <w:p>
      <w:pPr>
        <w:pStyle w:val="Compact"/>
        <w:numPr>
          <w:ilvl w:val="0"/>
          <w:numId w:val="1009"/>
        </w:numPr>
      </w:pPr>
      <w:r>
        <w:t xml:space="preserve">Project Keystone, a tokenized-deposit network involving five U.S. banks.</w:t>
      </w:r>
    </w:p>
    <w:p>
      <w:pPr>
        <w:pStyle w:val="Compact"/>
        <w:numPr>
          <w:ilvl w:val="0"/>
          <w:numId w:val="1009"/>
        </w:numPr>
      </w:pPr>
      <w:r>
        <w:t xml:space="preserve">The Lyriq digital-asset platform.</w:t>
      </w:r>
    </w:p>
    <w:p>
      <w:pPr>
        <w:pStyle w:val="Compact"/>
        <w:numPr>
          <w:ilvl w:val="0"/>
          <w:numId w:val="1009"/>
        </w:numPr>
      </w:pPr>
      <w:r>
        <w:t xml:space="preserve">Additional prospective agents for credit, fraud, onboarding and deposit retention.</w:t>
      </w:r>
    </w:p>
    <w:p>
      <w:pPr>
        <w:pStyle w:val="FirstParagraph"/>
      </w:pPr>
      <w:r>
        <w:t xml:space="preserve">Management expects the first agents to reach the market in the second half of 2026, but it included</w:t>
      </w:r>
      <w:r>
        <w:t xml:space="preserve"> </w:t>
      </w:r>
      <w:r>
        <w:rPr>
          <w:b/>
          <w:bCs/>
        </w:rPr>
        <w:t xml:space="preserve">no meaningful 2026 revenue</w:t>
      </w:r>
      <w:r>
        <w:t xml:space="preserve"> </w:t>
      </w:r>
      <w:r>
        <w:t xml:space="preserve">from the Anthropic initiative in guidance. Revenue is expected to become more visible in 2027.</w:t>
      </w:r>
    </w:p>
    <w:p>
      <w:pPr>
        <w:pStyle w:val="BodyText"/>
      </w:pPr>
      <w:r>
        <w:t xml:space="preserve">Therefore, the most useful AI disclosures would be commercial rather than conceptual:</w:t>
      </w:r>
    </w:p>
    <w:p>
      <w:pPr>
        <w:pStyle w:val="Compact"/>
        <w:numPr>
          <w:ilvl w:val="0"/>
          <w:numId w:val="1010"/>
        </w:numPr>
      </w:pPr>
      <w:r>
        <w:t xml:space="preserve">Product-launch timing.</w:t>
      </w:r>
    </w:p>
    <w:p>
      <w:pPr>
        <w:pStyle w:val="Compact"/>
        <w:numPr>
          <w:ilvl w:val="0"/>
          <w:numId w:val="1010"/>
        </w:numPr>
      </w:pPr>
      <w:r>
        <w:t xml:space="preserve">Number of design partners or committed clients.</w:t>
      </w:r>
    </w:p>
    <w:p>
      <w:pPr>
        <w:pStyle w:val="Compact"/>
        <w:numPr>
          <w:ilvl w:val="0"/>
          <w:numId w:val="1010"/>
        </w:numPr>
      </w:pPr>
      <w:r>
        <w:t xml:space="preserve">Pricing and recurring-revenue model.</w:t>
      </w:r>
    </w:p>
    <w:p>
      <w:pPr>
        <w:pStyle w:val="Compact"/>
        <w:numPr>
          <w:ilvl w:val="0"/>
          <w:numId w:val="1010"/>
        </w:numPr>
      </w:pPr>
      <w:r>
        <w:t xml:space="preserve">Implementation costs.</w:t>
      </w:r>
    </w:p>
    <w:p>
      <w:pPr>
        <w:pStyle w:val="Compact"/>
        <w:numPr>
          <w:ilvl w:val="0"/>
          <w:numId w:val="1010"/>
        </w:numPr>
      </w:pPr>
      <w:r>
        <w:t xml:space="preserve">Expected 2027 contribution.</w:t>
      </w:r>
    </w:p>
    <w:p>
      <w:pPr>
        <w:pStyle w:val="FirstParagraph"/>
      </w:pPr>
      <w:r>
        <w:t xml:space="preserve">The initiatives could eventually improve growth and FIS’s valuation multiple, but they should not distract from Q2 execution, integration and cash flow.</w:t>
      </w:r>
    </w:p>
    <w:bookmarkEnd w:id="17"/>
    <w:bookmarkStart w:id="18" w:name="valuation-and-expectations"/>
    <w:p>
      <w:pPr>
        <w:pStyle w:val="Heading2"/>
      </w:pPr>
      <w:r>
        <w:t xml:space="preserve">Valuation and expectations</w:t>
      </w:r>
    </w:p>
    <w:p>
      <w:pPr>
        <w:pStyle w:val="FirstParagraph"/>
      </w:pPr>
      <w:r>
        <w:t xml:space="preserve">At the August 3 closing price of $44.79:</w:t>
      </w:r>
    </w:p>
    <w:p>
      <w:pPr>
        <w:pStyle w:val="Compact"/>
        <w:numPr>
          <w:ilvl w:val="0"/>
          <w:numId w:val="1011"/>
        </w:numPr>
      </w:pPr>
      <w:r>
        <w:t xml:space="preserve">FIS trades at approximately</w:t>
      </w:r>
      <w:r>
        <w:t xml:space="preserve"> </w:t>
      </w:r>
      <w:r>
        <w:rPr>
          <w:b/>
          <w:bCs/>
        </w:rPr>
        <w:t xml:space="preserve">7.1x</w:t>
      </w:r>
      <w:r>
        <w:t xml:space="preserve"> </w:t>
      </w:r>
      <w:r>
        <w:t xml:space="preserve">the midpoint of 2026 adjusted EPS guidance.</w:t>
      </w:r>
    </w:p>
    <w:p>
      <w:pPr>
        <w:pStyle w:val="Compact"/>
        <w:numPr>
          <w:ilvl w:val="0"/>
          <w:numId w:val="1011"/>
        </w:numPr>
      </w:pPr>
      <w:r>
        <w:t xml:space="preserve">Using March 31 debt, cash and diluted shares, the company trades near</w:t>
      </w:r>
      <w:r>
        <w:t xml:space="preserve"> </w:t>
      </w:r>
      <w:r>
        <w:rPr>
          <w:b/>
          <w:bCs/>
        </w:rPr>
        <w:t xml:space="preserve">7.5x</w:t>
      </w:r>
      <w:r>
        <w:t xml:space="preserve"> </w:t>
      </w:r>
      <w:r>
        <w:t xml:space="preserve">guided adjusted EBITDA on an approximate enterprise-value basis.</w:t>
      </w:r>
    </w:p>
    <w:p>
      <w:pPr>
        <w:pStyle w:val="Compact"/>
        <w:numPr>
          <w:ilvl w:val="0"/>
          <w:numId w:val="1011"/>
        </w:numPr>
      </w:pPr>
      <w:r>
        <w:t xml:space="preserve">The annualized dividend yield is roughly</w:t>
      </w:r>
      <w:r>
        <w:t xml:space="preserve"> </w:t>
      </w:r>
      <w:r>
        <w:rPr>
          <w:b/>
          <w:bCs/>
        </w:rPr>
        <w:t xml:space="preserve">3.9%</w:t>
      </w:r>
      <w:r>
        <w:t xml:space="preserve">.</w:t>
      </w:r>
    </w:p>
    <w:p>
      <w:pPr>
        <w:pStyle w:val="FirstParagraph"/>
      </w:pPr>
      <w:r>
        <w:t xml:space="preserve">Those multiples suggest investors are not assigning much value to the AI narrative or potential Total Issuing revenue synergies. Instead, the valuation appears to reflect concerns about leverage, execution and the durability of adjusted earnings.</w:t>
      </w:r>
    </w:p>
    <w:p>
      <w:pPr>
        <w:pStyle w:val="BodyText"/>
      </w:pPr>
      <w:r>
        <w:t xml:space="preserve">This creates an asymmetric—but not automatically bullish—setup. Confirmation of guidance, cash flow and deleveraging could support a rerating. Conversely, a guidance reduction would call into question the integration thesis and could make the apparently low multiple less compelling.</w:t>
      </w:r>
    </w:p>
    <w:bookmarkEnd w:id="18"/>
    <w:bookmarkStart w:id="19" w:name="what-would-constitute-a-strong-report"/>
    <w:p>
      <w:pPr>
        <w:pStyle w:val="Heading2"/>
      </w:pPr>
      <w:r>
        <w:t xml:space="preserve">What would constitute a strong report?</w:t>
      </w:r>
    </w:p>
    <w:p>
      <w:pPr>
        <w:pStyle w:val="FirstParagraph"/>
      </w:pPr>
      <w:r>
        <w:t xml:space="preserve">A clearly positive report would likely include most of the following:</w:t>
      </w:r>
    </w:p>
    <w:p>
      <w:pPr>
        <w:pStyle w:val="Compact"/>
        <w:numPr>
          <w:ilvl w:val="0"/>
          <w:numId w:val="1012"/>
        </w:numPr>
      </w:pPr>
      <w:r>
        <w:t xml:space="preserve">Revenue, adjusted EBITDA and adjusted EPS at or above the upper end of Q2 guidance.</w:t>
      </w:r>
    </w:p>
    <w:p>
      <w:pPr>
        <w:pStyle w:val="Compact"/>
        <w:numPr>
          <w:ilvl w:val="0"/>
          <w:numId w:val="1012"/>
        </w:numPr>
      </w:pPr>
      <w:r>
        <w:t xml:space="preserve">Banking recurring growth near or above 5%.</w:t>
      </w:r>
    </w:p>
    <w:p>
      <w:pPr>
        <w:pStyle w:val="Compact"/>
        <w:numPr>
          <w:ilvl w:val="0"/>
          <w:numId w:val="1012"/>
        </w:numPr>
      </w:pPr>
      <w:r>
        <w:t xml:space="preserve">Capital Markets recurring growth returning to the mid-single digits.</w:t>
      </w:r>
    </w:p>
    <w:p>
      <w:pPr>
        <w:pStyle w:val="Compact"/>
        <w:numPr>
          <w:ilvl w:val="0"/>
          <w:numId w:val="1012"/>
        </w:numPr>
      </w:pPr>
      <w:r>
        <w:t xml:space="preserve">Q2 recurring ACV growth remaining healthy after Q1’s 24% companywide increase.</w:t>
      </w:r>
    </w:p>
    <w:p>
      <w:pPr>
        <w:pStyle w:val="Compact"/>
        <w:numPr>
          <w:ilvl w:val="0"/>
          <w:numId w:val="1012"/>
        </w:numPr>
      </w:pPr>
      <w:r>
        <w:t xml:space="preserve">Measurable Total Issuing cost synergies and unchanged 2026 synergy guidance.</w:t>
      </w:r>
    </w:p>
    <w:p>
      <w:pPr>
        <w:pStyle w:val="Compact"/>
        <w:numPr>
          <w:ilvl w:val="0"/>
          <w:numId w:val="1012"/>
        </w:numPr>
      </w:pPr>
      <w:r>
        <w:t xml:space="preserve">Strong free cash flow with gross leverage declining from 3.6x.</w:t>
      </w:r>
    </w:p>
    <w:p>
      <w:pPr>
        <w:pStyle w:val="Compact"/>
        <w:numPr>
          <w:ilvl w:val="0"/>
          <w:numId w:val="1012"/>
        </w:numPr>
      </w:pPr>
      <w:r>
        <w:t xml:space="preserve">Full-year guidance reiterated or modestly raised.</w:t>
      </w:r>
    </w:p>
    <w:p>
      <w:pPr>
        <w:pStyle w:val="Compact"/>
        <w:numPr>
          <w:ilvl w:val="0"/>
          <w:numId w:val="1012"/>
        </w:numPr>
      </w:pPr>
      <w:r>
        <w:t xml:space="preserve">A credible, quantified bridge to second-half margin expansion.</w:t>
      </w:r>
    </w:p>
    <w:bookmarkEnd w:id="19"/>
    <w:bookmarkStart w:id="20" w:name="what-would-be-concerning"/>
    <w:p>
      <w:pPr>
        <w:pStyle w:val="Heading2"/>
      </w:pPr>
      <w:r>
        <w:t xml:space="preserve">What would be concerning?</w:t>
      </w:r>
    </w:p>
    <w:p>
      <w:pPr>
        <w:pStyle w:val="FirstParagraph"/>
      </w:pPr>
      <w:r>
        <w:t xml:space="preserve">The principal warning signs would be:</w:t>
      </w:r>
    </w:p>
    <w:p>
      <w:pPr>
        <w:pStyle w:val="Compact"/>
        <w:numPr>
          <w:ilvl w:val="0"/>
          <w:numId w:val="1013"/>
        </w:numPr>
      </w:pPr>
      <w:r>
        <w:t xml:space="preserve">Banking growth supported primarily by licenses rather than recurring revenue.</w:t>
      </w:r>
    </w:p>
    <w:p>
      <w:pPr>
        <w:pStyle w:val="Compact"/>
        <w:numPr>
          <w:ilvl w:val="0"/>
          <w:numId w:val="1013"/>
        </w:numPr>
      </w:pPr>
      <w:r>
        <w:t xml:space="preserve">Additional Capital Markets softness outside loan syndication.</w:t>
      </w:r>
    </w:p>
    <w:p>
      <w:pPr>
        <w:pStyle w:val="Compact"/>
        <w:numPr>
          <w:ilvl w:val="0"/>
          <w:numId w:val="1013"/>
        </w:numPr>
      </w:pPr>
      <w:r>
        <w:t xml:space="preserve">Slower ACV growth or longer implementation cycles.</w:t>
      </w:r>
    </w:p>
    <w:p>
      <w:pPr>
        <w:pStyle w:val="Compact"/>
        <w:numPr>
          <w:ilvl w:val="0"/>
          <w:numId w:val="1013"/>
        </w:numPr>
      </w:pPr>
      <w:r>
        <w:t xml:space="preserve">Total Issuing integration costs rising faster than synergies.</w:t>
      </w:r>
    </w:p>
    <w:p>
      <w:pPr>
        <w:pStyle w:val="Compact"/>
        <w:numPr>
          <w:ilvl w:val="0"/>
          <w:numId w:val="1013"/>
        </w:numPr>
      </w:pPr>
      <w:r>
        <w:t xml:space="preserve">Weak cash conversion despite adjusted EBITDA growth.</w:t>
      </w:r>
    </w:p>
    <w:p>
      <w:pPr>
        <w:pStyle w:val="Compact"/>
        <w:numPr>
          <w:ilvl w:val="0"/>
          <w:numId w:val="1013"/>
        </w:numPr>
      </w:pPr>
      <w:r>
        <w:t xml:space="preserve">No leverage improvement.</w:t>
      </w:r>
    </w:p>
    <w:p>
      <w:pPr>
        <w:pStyle w:val="Compact"/>
        <w:numPr>
          <w:ilvl w:val="0"/>
          <w:numId w:val="1013"/>
        </w:numPr>
      </w:pPr>
      <w:r>
        <w:t xml:space="preserve">A full-year outlook that is maintained only through an increasingly back-end-loaded fourth quarter.</w:t>
      </w:r>
    </w:p>
    <w:p>
      <w:pPr>
        <w:pStyle w:val="Compact"/>
        <w:numPr>
          <w:ilvl w:val="0"/>
          <w:numId w:val="1013"/>
        </w:numPr>
      </w:pPr>
      <w:r>
        <w:t xml:space="preserve">Any reduction to pro forma growth, EBITDA-margin or free-cash-flow guidance.</w:t>
      </w:r>
    </w:p>
    <w:bookmarkEnd w:id="20"/>
    <w:bookmarkStart w:id="21" w:name="questions-for-the-call"/>
    <w:p>
      <w:pPr>
        <w:pStyle w:val="Heading2"/>
      </w:pPr>
      <w:r>
        <w:t xml:space="preserve">Questions for the call</w:t>
      </w:r>
    </w:p>
    <w:p>
      <w:pPr>
        <w:pStyle w:val="Compact"/>
        <w:numPr>
          <w:ilvl w:val="0"/>
          <w:numId w:val="1014"/>
        </w:numPr>
      </w:pPr>
      <w:r>
        <w:t xml:space="preserve">How much Total Issuing cost synergy was realized in Q2, and what is required in the second half to achieve the</w:t>
      </w:r>
      <w:r>
        <w:t xml:space="preserve"> </w:t>
      </w:r>
      <m:oMath>
        <m:r>
          <m:t>30</m:t>
        </m:r>
        <m:r>
          <m:t>m</m:t>
        </m:r>
        <m:r>
          <m:t>i</m:t>
        </m:r>
        <m:r>
          <m:t>l</m:t>
        </m:r>
        <m:r>
          <m:t>l</m:t>
        </m:r>
        <m:r>
          <m:t>i</m:t>
        </m:r>
        <m:r>
          <m:t>o</m:t>
        </m:r>
        <m:r>
          <m:t>n</m:t>
        </m:r>
        <m:r>
          <m:rPr>
            <m:sty m:val="p"/>
          </m:rPr>
          <m:t>–</m:t>
        </m:r>
      </m:oMath>
      <w:r>
        <w:t xml:space="preserve">40 million annual target?</w:t>
      </w:r>
    </w:p>
    <w:p>
      <w:pPr>
        <w:pStyle w:val="Compact"/>
        <w:numPr>
          <w:ilvl w:val="0"/>
          <w:numId w:val="1014"/>
        </w:numPr>
      </w:pPr>
      <w:r>
        <w:t xml:space="preserve">What was Q2 recurring ACV growth by segment, and have implementation timelines changed?</w:t>
      </w:r>
    </w:p>
    <w:p>
      <w:pPr>
        <w:pStyle w:val="Compact"/>
        <w:numPr>
          <w:ilvl w:val="0"/>
          <w:numId w:val="1014"/>
        </w:numPr>
      </w:pPr>
      <w:r>
        <w:t xml:space="preserve">Did Capital Markets recurring revenue return to the mid-single-digit range?</w:t>
      </w:r>
    </w:p>
    <w:p>
      <w:pPr>
        <w:pStyle w:val="Compact"/>
        <w:numPr>
          <w:ilvl w:val="0"/>
          <w:numId w:val="1014"/>
        </w:numPr>
      </w:pPr>
      <w:r>
        <w:t xml:space="preserve">How much of Banking’s growth came from recurring revenue versus licenses and professional services?</w:t>
      </w:r>
    </w:p>
    <w:p>
      <w:pPr>
        <w:pStyle w:val="Compact"/>
        <w:numPr>
          <w:ilvl w:val="0"/>
          <w:numId w:val="1014"/>
        </w:numPr>
      </w:pPr>
      <w:r>
        <w:t xml:space="preserve">What is the current gross-leverage ratio, and when does management expect to reach 2.8x?</w:t>
      </w:r>
    </w:p>
    <w:p>
      <w:pPr>
        <w:pStyle w:val="Compact"/>
        <w:numPr>
          <w:ilvl w:val="0"/>
          <w:numId w:val="1014"/>
        </w:numPr>
      </w:pPr>
      <w:r>
        <w:t xml:space="preserve">What specifically drives the implied 43.5%–44.0% second-half EBITDA margin?</w:t>
      </w:r>
    </w:p>
    <w:p>
      <w:pPr>
        <w:pStyle w:val="Compact"/>
        <w:numPr>
          <w:ilvl w:val="0"/>
          <w:numId w:val="1014"/>
        </w:numPr>
      </w:pPr>
      <w:r>
        <w:t xml:space="preserve">Are there any signs of customer attrition or pricing pressure within Total Issuing?</w:t>
      </w:r>
    </w:p>
    <w:p>
      <w:pPr>
        <w:pStyle w:val="Compact"/>
        <w:numPr>
          <w:ilvl w:val="0"/>
          <w:numId w:val="1014"/>
        </w:numPr>
      </w:pPr>
      <w:r>
        <w:t xml:space="preserve">When will the first Anthropic-powered agent begin producing recurring revenue?</w:t>
      </w:r>
    </w:p>
    <w:p>
      <w:pPr>
        <w:pStyle w:val="Compact"/>
        <w:numPr>
          <w:ilvl w:val="0"/>
          <w:numId w:val="1014"/>
        </w:numPr>
      </w:pPr>
      <w:r>
        <w:t xml:space="preserve">How much integration and transformation cash spending remains through 2028?</w:t>
      </w:r>
    </w:p>
    <w:p>
      <w:pPr>
        <w:pStyle w:val="Compact"/>
        <w:numPr>
          <w:ilvl w:val="0"/>
          <w:numId w:val="1014"/>
        </w:numPr>
      </w:pPr>
      <w:r>
        <w:t xml:space="preserve">What conditions would allow FIS to resume share repurchases?</w:t>
      </w:r>
    </w:p>
    <w:bookmarkEnd w:id="21"/>
    <w:bookmarkStart w:id="22" w:name="bottom-line"/>
    <w:p>
      <w:pPr>
        <w:pStyle w:val="Heading2"/>
      </w:pPr>
      <w:r>
        <w:t xml:space="preserve">Bottom line</w:t>
      </w:r>
    </w:p>
    <w:p>
      <w:pPr>
        <w:pStyle w:val="FirstParagraph"/>
      </w:pPr>
      <w:r>
        <w:t xml:space="preserve">The Q2 headline numbers matter, but the report is fundamentally a test of</w:t>
      </w:r>
      <w:r>
        <w:t xml:space="preserve"> </w:t>
      </w:r>
      <w:r>
        <w:rPr>
          <w:b/>
          <w:bCs/>
        </w:rPr>
        <w:t xml:space="preserve">earnings quality and balance-sheet execution</w:t>
      </w:r>
      <w:r>
        <w:t xml:space="preserve">.</w:t>
      </w:r>
    </w:p>
    <w:p>
      <w:pPr>
        <w:pStyle w:val="BodyText"/>
      </w:pPr>
      <w:r>
        <w:t xml:space="preserve">FIS needs to show that approximately 5% recurring growth, margin expansion and strong cash generation can coexist while it integrates Total Issuing and reduces leverage. If management delivers that combination and preserves the full-year outlook, the stock’s roughly seven-times adjusted-EPS multiple leaves room for a meaningful rerating. If growth weakens or the second-half margin and cash-flow targets become more back-end-loaded, investors are likely to treat the low valuation as evidence of structural risk rather than an opportunity.</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2026-08-04T00:33:43Z</dcterms:created>
  <dcterms:modified xsi:type="dcterms:W3CDTF">2026-08-04T00:33:43Z</dcterms:modified>
</cp:coreProperties>
</file>

<file path=docProps/custom.xml><?xml version="1.0" encoding="utf-8"?>
<Properties xmlns="http://schemas.openxmlformats.org/officeDocument/2006/custom-properties" xmlns:vt="http://schemas.openxmlformats.org/officeDocument/2006/docPropsVTypes"/>
</file>