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is-earnings-predictions--2026-08-04"/>
    <w:p>
      <w:pPr>
        <w:pStyle w:val="Heading1"/>
      </w:pPr>
      <w:r>
        <w:t xml:space="preserve">FIS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~$3.400B vs. cons $3.390B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~$1.422B vs. cons $1.407B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~$1.51 vs. cons $1.47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pro-forma revenue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~5.0% vs. cons 5.4%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~$5.83B vs. cons $5.83B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~$6.24 vs. cons $6.28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free cash flow excluding Worldpay-sale taxes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~$2.10B vs. cons $2.10B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Markets pro-forma revenue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~5.3% vs. cons 6.0%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-8.5% (FOLLOW-THROUGH)</w:t>
            </w:r>
          </w:p>
        </w:tc>
        <w:tc>
          <w:tcPr/>
          <w:p>
            <w:pPr>
              <w:pStyle w:val="Compact"/>
            </w:pPr>
            <w:r>
              <w:t xml:space="preserve">A modest 2Q EPS/EBITDA beat is outweighed by implicit out-period pressure: pred FY26 EPS ~$6.24 vs. cons $6.28 and Capital Markets growth ~5.3% vs. cons 6.0%, which should pull 2027 revenue and earnings estimates lower after the report.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2026-08-04T00:32:25Z</dcterms:created>
  <dcterms:modified xsi:type="dcterms:W3CDTF">2026-08-04T00:32:25Z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