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fis-nyse-fis--2q26-earnings-preview"/>
    <w:p>
      <w:pPr>
        <w:pStyle w:val="Heading1"/>
      </w:pPr>
      <w:r>
        <w:t xml:space="preserve">FIS (NYSE: FIS) — 2Q26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August 4,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framed for the company’s stated</w:t>
      </w:r>
      <w:r>
        <w:t xml:space="preserve"> </w:t>
      </w:r>
      <w:r>
        <w:rPr>
          <w:b/>
          <w:bCs/>
        </w:rPr>
        <w:t xml:space="preserve">2Q26 earnings event on August 4, 2026</w:t>
      </w:r>
      <w:r>
        <w:t xml:space="preserve">.</w:t>
      </w:r>
    </w:p>
    <w:bookmarkStart w:id="9" w:name="Xfe2733fefe219ed3d62794bfc9c21c0cf8116ab"/>
    <w:p>
      <w:pPr>
        <w:pStyle w:val="Heading2"/>
      </w:pPr>
      <w:r>
        <w:t xml:space="preserve">Investment view: the report is about execution on the new FIS</w:t>
      </w:r>
    </w:p>
    <w:p>
      <w:pPr>
        <w:pStyle w:val="FirstParagraph"/>
      </w:pPr>
      <w:r>
        <w:t xml:space="preserve">FIS enters 2Q with a relatively clear operational setup but a more demanding strategic test. The company’s first quarter established that the combination of</w:t>
      </w:r>
      <w:r>
        <w:t xml:space="preserve"> </w:t>
      </w:r>
      <w:r>
        <w:rPr>
          <w:b/>
          <w:bCs/>
        </w:rPr>
        <w:t xml:space="preserve">Total Issuing Solutions</w:t>
      </w:r>
      <w:r>
        <w:t xml:space="preserve"> </w:t>
      </w:r>
      <w:r>
        <w:t xml:space="preserve">(the former Global Payments issuer-solutions business), cost actions, and a stronger commercial pipeline can produce solid organic/pro-forma growth, expanding margins, and sharply higher cash flow.</w:t>
      </w:r>
    </w:p>
    <w:p>
      <w:pPr>
        <w:pStyle w:val="BodyText"/>
      </w:pPr>
      <w:r>
        <w:t xml:space="preserve">For this report, investors should focus less on the acquisition-driven headline growth rates and more on whether FIS is proving four things: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Banking Solutions can sustain mid-single-digit organic/pro-forma growth</w:t>
      </w:r>
      <w:r>
        <w:t xml:space="preserve"> </w:t>
      </w:r>
      <w:r>
        <w:t xml:space="preserve">while beginning to convert strong sales activity into recurring revenue.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 Markets can move past its temporary lending and license-timing headwinds.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 expansion and free-cash-flow conversion remain intact</w:t>
      </w:r>
      <w:r>
        <w:t xml:space="preserve"> </w:t>
      </w:r>
      <w:r>
        <w:t xml:space="preserve">despite integration work, higher interest expense, and a larger debt load.</w:t>
      </w:r>
    </w:p>
    <w:p>
      <w:pPr>
        <w:pStyle w:val="Compact"/>
        <w:numPr>
          <w:ilvl w:val="0"/>
          <w:numId w:val="1001"/>
        </w:numPr>
      </w:pPr>
      <w:r>
        <w:t xml:space="preserve">Management can maintain—or improve—the full-year outlook without relying on one-time license revenue or overly optimistic assumptions around lending activity.</w:t>
      </w:r>
    </w:p>
    <w:p>
      <w:pPr>
        <w:pStyle w:val="FirstParagraph"/>
      </w:pPr>
      <w:r>
        <w:t xml:space="preserve">The key debate is not whether FIS can meet the quarter’s reported growth targets; the acquired issuer business makes that likely. The debate is whether the company can demonstrate that its</w:t>
      </w:r>
      <w:r>
        <w:t xml:space="preserve"> </w:t>
      </w:r>
      <w:r>
        <w:rPr>
          <w:b/>
          <w:bCs/>
        </w:rPr>
        <w:t xml:space="preserve">5%–6% pro-forma growth algorithm, 95–110 bps of annual margin expansion, and</w:t>
      </w:r>
      <w:r>
        <w:rPr>
          <w:b/>
          <w:bCs/>
        </w:rPr>
        <w:t xml:space="preserve"> </w:t>
      </w:r>
      <m:oMath>
        <m:r>
          <m:t>2.05</m:t>
        </m:r>
        <m:r>
          <m:rPr>
            <m:sty m:val="p"/>
          </m:rPr>
          <m:t>–</m:t>
        </m:r>
      </m:oMath>
      <w:r>
        <w:rPr>
          <w:b/>
          <w:bCs/>
        </w:rPr>
        <w:t xml:space="preserve">2.15 billion of free cash flow</w:t>
      </w:r>
      <w:r>
        <w:t xml:space="preserve"> </w:t>
      </w:r>
      <w:r>
        <w:t xml:space="preserve">are durable.</w:t>
      </w:r>
    </w:p>
    <w:p>
      <w:r>
        <w:pict>
          <v:rect style="width:0;height:1.5pt" o:hralign="center" o:hrstd="t" o:hr="t"/>
        </w:pict>
      </w:r>
    </w:p>
    <w:bookmarkEnd w:id="9"/>
    <w:bookmarkStart w:id="10" w:name="what-fis-has-guided-to-for-2q26"/>
    <w:p>
      <w:pPr>
        <w:pStyle w:val="Heading2"/>
      </w:pPr>
      <w:r>
        <w:t xml:space="preserve">What FIS has guided to for 2Q26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3.375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3.395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1.395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1.415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1.45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1.49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Pro-forma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4.9%–5.5%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Banking Solutions pro-forma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5.5%–6.0%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Markets pro-forma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3.0%–4.0%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 expansion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~75–110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7%–10%</w:t>
            </w:r>
          </w:p>
        </w:tc>
      </w:tr>
    </w:tbl>
    <w:p>
      <w:pPr>
        <w:pStyle w:val="BodyText"/>
      </w:pPr>
      <w:r>
        <w:t xml:space="preserve">At the midpoint, FIS is asking investors to underwrite approximately</w:t>
      </w:r>
      <w:r>
        <w:t xml:space="preserve"> </w:t>
      </w:r>
      <w:r>
        <w:rPr>
          <w:b/>
          <w:bCs/>
        </w:rPr>
        <w:t xml:space="preserve">$3.385 billion of revenue, $1.405 billion of adjusted EBITDA, and $1.47 of adjusted EPS</w:t>
      </w:r>
      <w:r>
        <w:t xml:space="preserve">.</w:t>
      </w:r>
    </w:p>
    <w:p>
      <w:pPr>
        <w:pStyle w:val="BodyText"/>
      </w:pPr>
      <w:r>
        <w:t xml:space="preserve">The most important quality-of-growth metric will be</w:t>
      </w:r>
      <w:r>
        <w:t xml:space="preserve"> </w:t>
      </w:r>
      <w:r>
        <w:rPr>
          <w:b/>
          <w:bCs/>
        </w:rPr>
        <w:t xml:space="preserve">pro-forma growth</w:t>
      </w:r>
      <w:r>
        <w:t xml:space="preserve">, which treats Total Issuing as if it had been owned in the prior-year comparison period. Reported revenue and EBITDA growth will be much higher because of the acquisition, but pro-forma growth is the cleaner read on underlying execution.</w:t>
      </w:r>
    </w:p>
    <w:p>
      <w:r>
        <w:pict>
          <v:rect style="width:0;height:1.5pt" o:hralign="center" o:hrstd="t" o:hr="t"/>
        </w:pict>
      </w:r>
    </w:p>
    <w:bookmarkEnd w:id="10"/>
    <w:bookmarkStart w:id="14" w:name="why-the-quarter-matters"/>
    <w:p>
      <w:pPr>
        <w:pStyle w:val="Heading2"/>
      </w:pPr>
      <w:r>
        <w:t xml:space="preserve">Why the quarter matters</w:t>
      </w:r>
    </w:p>
    <w:bookmarkStart w:id="11" w:name="X3244d810a5e62170ab8133d2e849c42ce984838"/>
    <w:p>
      <w:pPr>
        <w:pStyle w:val="Heading3"/>
      </w:pPr>
      <w:r>
        <w:t xml:space="preserve">1. Banking Solutions needs to validate its stronger growth profile</w:t>
      </w:r>
    </w:p>
    <w:p>
      <w:pPr>
        <w:pStyle w:val="FirstParagraph"/>
      </w:pPr>
      <w:r>
        <w:t xml:space="preserve">Banking Solutions now represents roughly three-quarters of FIS revenue and is the principal driver of the company’s reset growth story. In 1Q, segment pro-forma revenue grew</w:t>
      </w:r>
      <w:r>
        <w:t xml:space="preserve"> </w:t>
      </w:r>
      <w:r>
        <w:rPr>
          <w:b/>
          <w:bCs/>
        </w:rPr>
        <w:t xml:space="preserve">7.7%</w:t>
      </w:r>
      <w:r>
        <w:t xml:space="preserve">, with recurring revenue up</w:t>
      </w:r>
      <w:r>
        <w:t xml:space="preserve"> </w:t>
      </w:r>
      <w:r>
        <w:rPr>
          <w:b/>
          <w:bCs/>
        </w:rPr>
        <w:t xml:space="preserve">5.2%</w:t>
      </w:r>
      <w:r>
        <w:t xml:space="preserve">. Management attributed the strength to digital banking, money movement, payments, lending, license activity, favorable mix, and cost savings.</w:t>
      </w:r>
    </w:p>
    <w:p>
      <w:pPr>
        <w:pStyle w:val="BodyText"/>
      </w:pPr>
      <w:r>
        <w:t xml:space="preserve">For 2Q, Banking is guided to</w:t>
      </w:r>
      <w:r>
        <w:t xml:space="preserve"> </w:t>
      </w:r>
      <w:r>
        <w:rPr>
          <w:b/>
          <w:bCs/>
        </w:rPr>
        <w:t xml:space="preserve">5.5%–6.0% pro-forma growth</w:t>
      </w:r>
      <w:r>
        <w:t xml:space="preserve">. That lower implied rate versus 1Q is not necessarily a concern: first-quarter Banking results included unusually strong nonrecurring revenue from new distribution agreements. Instead, investors should watch whether recurring revenue holds around the ~5% range and whether payments continues to outgrow the banking-software side over time.</w:t>
      </w:r>
    </w:p>
    <w:p>
      <w:pPr>
        <w:pStyle w:val="BodyText"/>
      </w:pPr>
      <w:r>
        <w:rPr>
          <w:b/>
          <w:bCs/>
        </w:rPr>
        <w:t xml:space="preserve">What would be constructive</w:t>
      </w:r>
    </w:p>
    <w:p>
      <w:pPr>
        <w:pStyle w:val="Compact"/>
        <w:numPr>
          <w:ilvl w:val="0"/>
          <w:numId w:val="1002"/>
        </w:numPr>
      </w:pPr>
      <w:r>
        <w:t xml:space="preserve">Recurring growth around or above the 1Q level.</w:t>
      </w:r>
    </w:p>
    <w:p>
      <w:pPr>
        <w:pStyle w:val="Compact"/>
        <w:numPr>
          <w:ilvl w:val="0"/>
          <w:numId w:val="1002"/>
        </w:numPr>
      </w:pPr>
      <w:r>
        <w:t xml:space="preserve">Evidence that strong ACV sales are becoming revenue rather than merely pipeline.</w:t>
      </w:r>
    </w:p>
    <w:p>
      <w:pPr>
        <w:pStyle w:val="Compact"/>
        <w:numPr>
          <w:ilvl w:val="0"/>
          <w:numId w:val="1002"/>
        </w:numPr>
      </w:pPr>
      <w:r>
        <w:t xml:space="preserve">Continued momentum in digital, Money Movement Hub, issuer processing, and lending.</w:t>
      </w:r>
    </w:p>
    <w:p>
      <w:pPr>
        <w:pStyle w:val="Compact"/>
        <w:numPr>
          <w:ilvl w:val="0"/>
          <w:numId w:val="1002"/>
        </w:numPr>
      </w:pPr>
      <w:r>
        <w:t xml:space="preserve">Margin expansion that is not wholly dependent on temporary mix benefits.</w:t>
      </w:r>
    </w:p>
    <w:p>
      <w:pPr>
        <w:pStyle w:val="FirstParagraph"/>
      </w:pPr>
      <w:r>
        <w:rPr>
          <w:b/>
          <w:bCs/>
        </w:rPr>
        <w:t xml:space="preserve">What would disappoint</w:t>
      </w:r>
    </w:p>
    <w:p>
      <w:pPr>
        <w:pStyle w:val="Compact"/>
        <w:numPr>
          <w:ilvl w:val="0"/>
          <w:numId w:val="1003"/>
        </w:numPr>
      </w:pPr>
      <w:r>
        <w:t xml:space="preserve">A material deceleration in recurring Banking revenue.</w:t>
      </w:r>
    </w:p>
    <w:p>
      <w:pPr>
        <w:pStyle w:val="Compact"/>
        <w:numPr>
          <w:ilvl w:val="0"/>
          <w:numId w:val="1003"/>
        </w:numPr>
      </w:pPr>
      <w:r>
        <w:t xml:space="preserve">Incremental pricing pressure or evidence of competitive disruption in core banking or issuer processing.</w:t>
      </w:r>
    </w:p>
    <w:p>
      <w:pPr>
        <w:pStyle w:val="Compact"/>
        <w:numPr>
          <w:ilvl w:val="0"/>
          <w:numId w:val="1003"/>
        </w:numPr>
      </w:pPr>
      <w:r>
        <w:t xml:space="preserve">Weakness in customer implementations, conversions, or transaction volumes.</w:t>
      </w:r>
    </w:p>
    <w:p>
      <w:r>
        <w:pict>
          <v:rect style="width:0;height:1.5pt" o:hralign="center" o:hrstd="t" o:hr="t"/>
        </w:pict>
      </w:r>
    </w:p>
    <w:bookmarkEnd w:id="11"/>
    <w:bookmarkStart w:id="12" w:name="X5c67d7dd78df147607e5034b999ed631295ec84"/>
    <w:p>
      <w:pPr>
        <w:pStyle w:val="Heading3"/>
      </w:pPr>
      <w:r>
        <w:t xml:space="preserve">2. Capital Markets is the swing factor for the full-year organic-growth guide</w:t>
      </w:r>
    </w:p>
    <w:p>
      <w:pPr>
        <w:pStyle w:val="FirstParagraph"/>
      </w:pPr>
      <w:r>
        <w:t xml:space="preserve">Capital Markets was the soft spot in 1Q, with only</w:t>
      </w:r>
      <w:r>
        <w:t xml:space="preserve"> </w:t>
      </w:r>
      <w:r>
        <w:rPr>
          <w:b/>
          <w:bCs/>
        </w:rPr>
        <w:t xml:space="preserve">2.9% pro-forma revenue growth</w:t>
      </w:r>
      <w:r>
        <w:t xml:space="preserve">. The result benefited from a license sale that closed earlier than expected, worth about</w:t>
      </w:r>
      <w:r>
        <w:t xml:space="preserve"> </w:t>
      </w:r>
      <w:r>
        <w:rPr>
          <w:b/>
          <w:bCs/>
        </w:rPr>
        <w:t xml:space="preserve">125 bps</w:t>
      </w:r>
      <w:r>
        <w:t xml:space="preserve"> </w:t>
      </w:r>
      <w:r>
        <w:t xml:space="preserve">of growth. Underlying recurring revenue grew</w:t>
      </w:r>
      <w:r>
        <w:t xml:space="preserve"> </w:t>
      </w:r>
      <w:r>
        <w:rPr>
          <w:b/>
          <w:bCs/>
        </w:rPr>
        <w:t xml:space="preserve">3.6%</w:t>
      </w:r>
      <w:r>
        <w:t xml:space="preserve">, but softer loan-syndication and debt-issuance activity reduced recurring growth by roughly</w:t>
      </w:r>
      <w:r>
        <w:t xml:space="preserve"> </w:t>
      </w:r>
      <w:r>
        <w:rPr>
          <w:b/>
          <w:bCs/>
        </w:rPr>
        <w:t xml:space="preserve">130 bps</w:t>
      </w:r>
      <w:r>
        <w:t xml:space="preserve">.</w:t>
      </w:r>
    </w:p>
    <w:p>
      <w:pPr>
        <w:pStyle w:val="BodyText"/>
      </w:pPr>
      <w:r>
        <w:t xml:space="preserve">Management guided Capital Markets to only</w:t>
      </w:r>
      <w:r>
        <w:t xml:space="preserve"> </w:t>
      </w:r>
      <w:r>
        <w:rPr>
          <w:b/>
          <w:bCs/>
        </w:rPr>
        <w:t xml:space="preserve">3.0%–4.0%</w:t>
      </w:r>
      <w:r>
        <w:t xml:space="preserve"> </w:t>
      </w:r>
      <w:r>
        <w:t xml:space="preserve">growth in 2Q, including roughly:</w:t>
      </w:r>
    </w:p>
    <w:p>
      <w:pPr>
        <w:pStyle w:val="Compact"/>
        <w:numPr>
          <w:ilvl w:val="0"/>
          <w:numId w:val="1004"/>
        </w:numPr>
      </w:pPr>
      <w:r>
        <w:t xml:space="preserve">a comparison effect from the first-quarter license timing; and</w:t>
      </w:r>
    </w:p>
    <w:p>
      <w:pPr>
        <w:pStyle w:val="Compact"/>
        <w:numPr>
          <w:ilvl w:val="0"/>
          <w:numId w:val="1004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50 bps</w:t>
      </w:r>
      <w:r>
        <w:t xml:space="preserve"> </w:t>
      </w:r>
      <w:r>
        <w:t xml:space="preserve">of continued pressure from lending-market softness.</w:t>
      </w:r>
    </w:p>
    <w:p>
      <w:pPr>
        <w:pStyle w:val="FirstParagraph"/>
      </w:pPr>
      <w:r>
        <w:t xml:space="preserve">The company has characterized the lending headwind as transitory and pointed to strong recurring ACV in the lending business. Still, this is the main operating risk to the 2026 plan: Capital Markets is guided to grow</w:t>
      </w:r>
      <w:r>
        <w:t xml:space="preserve"> </w:t>
      </w:r>
      <w:r>
        <w:rPr>
          <w:b/>
          <w:bCs/>
        </w:rPr>
        <w:t xml:space="preserve">5.5%–6.5%</w:t>
      </w:r>
      <w:r>
        <w:t xml:space="preserve"> </w:t>
      </w:r>
      <w:r>
        <w:t xml:space="preserve">for the full year, so FIS needs a visible reacceleration in the second half.</w:t>
      </w:r>
    </w:p>
    <w:p>
      <w:pPr>
        <w:pStyle w:val="BodyText"/>
      </w:pPr>
      <w:r>
        <w:rPr>
          <w:b/>
          <w:bCs/>
        </w:rPr>
        <w:t xml:space="preserve">Core question for management:</w:t>
      </w:r>
      <w:r>
        <w:t xml:space="preserve"> </w:t>
      </w:r>
      <w:r>
        <w:t xml:space="preserve">Is lending-market softness stabilizing, or does the company need to further temper its Capital Markets outlook?</w:t>
      </w:r>
    </w:p>
    <w:p>
      <w:r>
        <w:pict>
          <v:rect style="width:0;height:1.5pt" o:hralign="center" o:hrstd="t" o:hr="t"/>
        </w:pict>
      </w:r>
    </w:p>
    <w:bookmarkEnd w:id="12"/>
    <w:bookmarkStart w:id="13" w:name="Xc1f03a3fb57d96c90d1142228a5646f927f6b8c"/>
    <w:p>
      <w:pPr>
        <w:pStyle w:val="Heading3"/>
      </w:pPr>
      <w:r>
        <w:t xml:space="preserve">3. Cash flow and deleveraging are central to the equity story</w:t>
      </w:r>
    </w:p>
    <w:p>
      <w:pPr>
        <w:pStyle w:val="FirstParagraph"/>
      </w:pPr>
      <w:r>
        <w:t xml:space="preserve">FIS generated</w:t>
      </w:r>
      <w:r>
        <w:t xml:space="preserve"> </w:t>
      </w:r>
      <w:r>
        <w:rPr>
          <w:b/>
          <w:bCs/>
        </w:rPr>
        <w:t xml:space="preserve">$474 million of free cash flow excluding Worldpay-sale transaction taxes</w:t>
      </w:r>
      <w:r>
        <w:t xml:space="preserve"> </w:t>
      </w:r>
      <w:r>
        <w:t xml:space="preserve">in 1Q, up 111% year over year. Management noted that the first quarter is historically its lowest cash-flow quarter, normally representing only 13%–14% of annual free cash flow, while 1Q26 represented about 23% of the full-year target.</w:t>
      </w:r>
    </w:p>
    <w:p>
      <w:pPr>
        <w:pStyle w:val="BodyText"/>
      </w:pPr>
      <w:r>
        <w:t xml:space="preserve">That creates a favorable setup for 2Q, when management expects another strong cash-flow contribution. The full-year free-cash-flow objective is</w:t>
      </w:r>
      <w:r>
        <w:t xml:space="preserve"> </w:t>
      </w:r>
      <m:oMath>
        <m:r>
          <m:t>2.05</m:t>
        </m:r>
        <m:r>
          <m:rPr>
            <m:sty m:val="p"/>
          </m:rPr>
          <m:t>–</m:t>
        </m:r>
      </m:oMath>
      <w:r>
        <w:rPr>
          <w:b/>
          <w:bCs/>
        </w:rPr>
        <w:t xml:space="preserve">2.15 billion</w:t>
      </w:r>
      <w:r>
        <w:t xml:space="preserve">, excluding cash taxes related to the Worldpay transaction.</w:t>
      </w:r>
    </w:p>
    <w:p>
      <w:pPr>
        <w:pStyle w:val="BodyText"/>
      </w:pPr>
      <w:r>
        <w:t xml:space="preserve">The reason this matters is leverage. At March 31, FIS had: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$21.1 billion</w:t>
      </w:r>
      <w:r>
        <w:t xml:space="preserve"> </w:t>
      </w:r>
      <w:r>
        <w:t xml:space="preserve">of debt outstanding;</w:t>
      </w:r>
    </w:p>
    <w:p>
      <w:pPr>
        <w:pStyle w:val="Compact"/>
        <w:numPr>
          <w:ilvl w:val="0"/>
          <w:numId w:val="1005"/>
        </w:numPr>
      </w:pPr>
      <w:r>
        <w:t xml:space="preserve">gross leverage of approximately</w:t>
      </w:r>
      <w:r>
        <w:t xml:space="preserve"> </w:t>
      </w:r>
      <w:r>
        <w:rPr>
          <w:b/>
          <w:bCs/>
        </w:rPr>
        <w:t xml:space="preserve">3.6x</w:t>
      </w:r>
      <w:r>
        <w:t xml:space="preserve">; and</w:t>
      </w:r>
    </w:p>
    <w:p>
      <w:pPr>
        <w:pStyle w:val="Compact"/>
        <w:numPr>
          <w:ilvl w:val="0"/>
          <w:numId w:val="1005"/>
        </w:numPr>
      </w:pPr>
      <w:r>
        <w:t xml:space="preserve">a stated target of</w:t>
      </w:r>
      <w:r>
        <w:t xml:space="preserve"> </w:t>
      </w:r>
      <w:r>
        <w:rPr>
          <w:b/>
          <w:bCs/>
        </w:rPr>
        <w:t xml:space="preserve">2.8x</w:t>
      </w:r>
      <w:r>
        <w:t xml:space="preserve"> </w:t>
      </w:r>
      <w:r>
        <w:t xml:space="preserve">gross leverage before resuming its normal capital-allocation priorities, including meaningful buybacks and tuck-in M&amp;A.</w:t>
      </w:r>
    </w:p>
    <w:p>
      <w:pPr>
        <w:pStyle w:val="FirstParagraph"/>
      </w:pPr>
      <w:r>
        <w:t xml:space="preserve">The company has paused share repurchases while it deleverages. Therefore, a strong cash-flow print and reaffirmation of the debt-reduction path would likely matter more than a small EPS beat.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Xdceee766759b0dbf40065f0a3ebc1d881bf9023"/>
    <w:p>
      <w:pPr>
        <w:pStyle w:val="Heading2"/>
      </w:pPr>
      <w:r>
        <w:t xml:space="preserve">Total Issuing Solutions: integration and synergy proof points</w:t>
      </w:r>
    </w:p>
    <w:p>
      <w:pPr>
        <w:pStyle w:val="FirstParagraph"/>
      </w:pPr>
      <w:r>
        <w:t xml:space="preserve">The issuer-solutions acquisition is strategically important: it expands FIS’s scale in card issuing, gives it a larger payments platform, and creates opportunities to cross-sell core banking, debit, credit, data, and money-movement products.</w:t>
      </w:r>
    </w:p>
    <w:p>
      <w:pPr>
        <w:pStyle w:val="BodyText"/>
      </w:pPr>
      <w:r>
        <w:t xml:space="preserve">Management’s disclosed synergy framework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Synergy 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Long-term cost synergies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cost-synergy contribution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Long-term revenue synergies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synergies expected by 2028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$45 million</w:t>
            </w:r>
          </w:p>
        </w:tc>
      </w:tr>
    </w:tbl>
    <w:p>
      <w:pPr>
        <w:pStyle w:val="BodyText"/>
      </w:pPr>
      <w:r>
        <w:t xml:space="preserve">The first quarter included only about</w:t>
      </w:r>
      <w:r>
        <w:t xml:space="preserve"> </w:t>
      </w:r>
      <w:r>
        <w:rPr>
          <w:b/>
          <w:bCs/>
        </w:rPr>
        <w:t xml:space="preserve">$1 million</w:t>
      </w:r>
      <w:r>
        <w:t xml:space="preserve"> </w:t>
      </w:r>
      <w:r>
        <w:t xml:space="preserve">of cost synergies, with management indicating that formal reporting and the bulk of synergy realization should begin in the second half.</w:t>
      </w:r>
    </w:p>
    <w:p>
      <w:pPr>
        <w:pStyle w:val="BodyText"/>
      </w:pPr>
      <w:r>
        <w:rPr>
          <w:b/>
          <w:bCs/>
        </w:rPr>
        <w:t xml:space="preserve">What to listen for in 2Q</w:t>
      </w:r>
    </w:p>
    <w:p>
      <w:pPr>
        <w:pStyle w:val="Compact"/>
        <w:numPr>
          <w:ilvl w:val="0"/>
          <w:numId w:val="1006"/>
        </w:numPr>
      </w:pPr>
      <w:r>
        <w:t xml:space="preserve">Whether realized cost synergies begin to ramp as planned.</w:t>
      </w:r>
    </w:p>
    <w:p>
      <w:pPr>
        <w:pStyle w:val="Compact"/>
        <w:numPr>
          <w:ilvl w:val="0"/>
          <w:numId w:val="1006"/>
        </w:numPr>
      </w:pPr>
      <w:r>
        <w:t xml:space="preserve">Any revised timing, integration costs, or customer-retention commentary.</w:t>
      </w:r>
    </w:p>
    <w:p>
      <w:pPr>
        <w:pStyle w:val="Compact"/>
        <w:numPr>
          <w:ilvl w:val="0"/>
          <w:numId w:val="1006"/>
        </w:numPr>
      </w:pPr>
      <w:r>
        <w:t xml:space="preserve">Cross-sell traction across debit, credit, core, and commercial-card relationships.</w:t>
      </w:r>
    </w:p>
    <w:p>
      <w:pPr>
        <w:pStyle w:val="Compact"/>
        <w:numPr>
          <w:ilvl w:val="0"/>
          <w:numId w:val="1006"/>
        </w:numPr>
      </w:pPr>
      <w:r>
        <w:t xml:space="preserve">Confirmation that revenue synergies remain a 2027–2028 opportunity rather than a 2026 earnings dependency.</w:t>
      </w:r>
    </w:p>
    <w:p>
      <w:r>
        <w:pict>
          <v:rect style="width:0;height:1.5pt" o:hralign="center" o:hrstd="t" o:hr="t"/>
        </w:pict>
      </w:r>
    </w:p>
    <w:bookmarkEnd w:id="15"/>
    <w:bookmarkStart w:id="16" w:name="X904599154b2ae23b8fb02087a688e1649594616"/>
    <w:p>
      <w:pPr>
        <w:pStyle w:val="Heading2"/>
      </w:pPr>
      <w:r>
        <w:t xml:space="preserve">AI and digital assets: strategically relevant, not a 2026 earnings driver</w:t>
      </w:r>
    </w:p>
    <w:p>
      <w:pPr>
        <w:pStyle w:val="FirstParagraph"/>
      </w:pPr>
      <w:r>
        <w:t xml:space="preserve">FIS’s partnership with Anthropic and its digital-asset initiatives—including Project Keystone and the Lyriq platform—have enhanced the company’s strategic narrative. The Anthropic collaboration aims to deploy bank-grade financial-crimes agents and, ultimately, additional AI agents across banking workflows.</w:t>
      </w:r>
    </w:p>
    <w:p>
      <w:pPr>
        <w:pStyle w:val="BodyText"/>
      </w:pPr>
      <w:r>
        <w:t xml:space="preserve">However, management explicitly said that</w:t>
      </w:r>
      <w:r>
        <w:t xml:space="preserve"> </w:t>
      </w:r>
      <w:r>
        <w:rPr>
          <w:b/>
          <w:bCs/>
        </w:rPr>
        <w:t xml:space="preserve">no meaningful AI-agent revenue is embedded in 2026 guidance</w:t>
      </w:r>
      <w:r>
        <w:t xml:space="preserve">. Agents may enter the market in the second half of 2026, but material revenue is expected to take shape in</w:t>
      </w:r>
      <w:r>
        <w:t xml:space="preserve"> </w:t>
      </w:r>
      <w:r>
        <w:rPr>
          <w:b/>
          <w:bCs/>
        </w:rPr>
        <w:t xml:space="preserve">2027</w:t>
      </w:r>
      <w:r>
        <w:t xml:space="preserve">.</w:t>
      </w:r>
    </w:p>
    <w:p>
      <w:pPr>
        <w:pStyle w:val="BodyText"/>
      </w:pPr>
      <w:r>
        <w:t xml:space="preserve">That distinction is important: these initiatives can support the long-term multiple and competitive positioning, but investors should not expect them to rescue a weak 2Q operating print. The near-term financial story remains commercial execution, issuer-business integration, margin delivery, and cash generation.</w:t>
      </w:r>
    </w:p>
    <w:p>
      <w:r>
        <w:pict>
          <v:rect style="width:0;height:1.5pt" o:hralign="center" o:hrstd="t" o:hr="t"/>
        </w:pict>
      </w:r>
    </w:p>
    <w:bookmarkEnd w:id="16"/>
    <w:bookmarkStart w:id="17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FIS closed at</w:t>
      </w:r>
      <w:r>
        <w:t xml:space="preserve"> </w:t>
      </w:r>
      <w:r>
        <w:rPr>
          <w:b/>
          <w:bCs/>
        </w:rPr>
        <w:t xml:space="preserve">$44.79 on August 3</w:t>
      </w:r>
      <w:r>
        <w:t xml:space="preserve">. The shares were down about</w:t>
      </w:r>
      <w:r>
        <w:t xml:space="preserve"> </w:t>
      </w:r>
      <w:r>
        <w:rPr>
          <w:b/>
          <w:bCs/>
        </w:rPr>
        <w:t xml:space="preserve">31.7%</w:t>
      </w:r>
      <w:r>
        <w:t xml:space="preserve"> </w:t>
      </w:r>
      <w:r>
        <w:t xml:space="preserve">from the January 2 close of $65.62, though they had recovered roughly</w:t>
      </w:r>
      <w:r>
        <w:t xml:space="preserve"> </w:t>
      </w:r>
      <w:r>
        <w:rPr>
          <w:b/>
          <w:bCs/>
        </w:rPr>
        <w:t xml:space="preserve">9.8%</w:t>
      </w:r>
      <w:r>
        <w:t xml:space="preserve"> </w:t>
      </w:r>
      <w:r>
        <w:t xml:space="preserve">from the July 1 close through August 3.</w:t>
      </w:r>
    </w:p>
    <w:p>
      <w:pPr>
        <w:pStyle w:val="BodyText"/>
      </w:pPr>
      <w:r>
        <w:t xml:space="preserve">The stock also fell from</w:t>
      </w:r>
      <w:r>
        <w:t xml:space="preserve"> </w:t>
      </w:r>
      <w:r>
        <w:rPr>
          <w:b/>
          <w:bCs/>
        </w:rPr>
        <w:t xml:space="preserve">$47.25 on May 7 to $43.49 on May 8</w:t>
      </w:r>
      <w:r>
        <w:t xml:space="preserve">, the date FIS reported first-quarter results, and remains below its pre-1Q-report level. That suggests investors may be looking for more than an in-line quarter: they likely want confirmation that organic growth, cash flow, and integration execution can translate into a more credible 2027 earnings trajectory.</w:t>
      </w:r>
    </w:p>
    <w:p>
      <w:r>
        <w:pict>
          <v:rect style="width:0;height:1.5pt" o:hralign="center" o:hrstd="t" o:hr="t"/>
        </w:pict>
      </w:r>
    </w:p>
    <w:bookmarkEnd w:id="17"/>
    <w:bookmarkStart w:id="20" w:name="what-matters-most-on-the-call"/>
    <w:p>
      <w:pPr>
        <w:pStyle w:val="Heading2"/>
      </w:pPr>
      <w:r>
        <w:t xml:space="preserve">What matters most on the call</w:t>
      </w:r>
    </w:p>
    <w:bookmarkStart w:id="18" w:name="potential-positives"/>
    <w:p>
      <w:pPr>
        <w:pStyle w:val="Heading3"/>
      </w:pPr>
      <w:r>
        <w:t xml:space="preserve">Potential positives</w:t>
      </w:r>
    </w:p>
    <w:p>
      <w:pPr>
        <w:pStyle w:val="Compact"/>
        <w:numPr>
          <w:ilvl w:val="0"/>
          <w:numId w:val="1007"/>
        </w:numPr>
      </w:pPr>
      <w:r>
        <w:t xml:space="preserve">2Q results above the guided range, particularly in pro-forma revenue and EBITDA margin.</w:t>
      </w:r>
    </w:p>
    <w:p>
      <w:pPr>
        <w:pStyle w:val="Compact"/>
        <w:numPr>
          <w:ilvl w:val="0"/>
          <w:numId w:val="1007"/>
        </w:numPr>
      </w:pPr>
      <w:r>
        <w:t xml:space="preserve">Banking recurring revenue holding at or above ~5%.</w:t>
      </w:r>
    </w:p>
    <w:p>
      <w:pPr>
        <w:pStyle w:val="Compact"/>
        <w:numPr>
          <w:ilvl w:val="0"/>
          <w:numId w:val="1007"/>
        </w:numPr>
      </w:pPr>
      <w:r>
        <w:t xml:space="preserve">Capital Markets recurring revenue improving despite loan-syndication headwinds.</w:t>
      </w:r>
    </w:p>
    <w:p>
      <w:pPr>
        <w:pStyle w:val="Compact"/>
        <w:numPr>
          <w:ilvl w:val="0"/>
          <w:numId w:val="1007"/>
        </w:numPr>
      </w:pPr>
      <w:r>
        <w:t xml:space="preserve">Reaffirmed or raised full-year pro-forma growth, EBITDA-margin, EPS, and free-cash-flow targets.</w:t>
      </w:r>
    </w:p>
    <w:p>
      <w:pPr>
        <w:pStyle w:val="Compact"/>
        <w:numPr>
          <w:ilvl w:val="0"/>
          <w:numId w:val="1007"/>
        </w:numPr>
      </w:pPr>
      <w:r>
        <w:t xml:space="preserve">Tangible progress on issuer-business cost synergies and leverage reduction.</w:t>
      </w:r>
    </w:p>
    <w:p>
      <w:pPr>
        <w:pStyle w:val="Compact"/>
        <w:numPr>
          <w:ilvl w:val="0"/>
          <w:numId w:val="1007"/>
        </w:numPr>
      </w:pPr>
      <w:r>
        <w:t xml:space="preserve">Evidence that strong ACV growth is converting into second-half revenue acceleration.</w:t>
      </w:r>
    </w:p>
    <w:bookmarkEnd w:id="18"/>
    <w:bookmarkStart w:id="19" w:name="potential-negatives"/>
    <w:p>
      <w:pPr>
        <w:pStyle w:val="Heading3"/>
      </w:pPr>
      <w:r>
        <w:t xml:space="preserve">Potential negatives</w:t>
      </w:r>
    </w:p>
    <w:p>
      <w:pPr>
        <w:pStyle w:val="Compact"/>
        <w:numPr>
          <w:ilvl w:val="0"/>
          <w:numId w:val="1008"/>
        </w:numPr>
      </w:pPr>
      <w:r>
        <w:t xml:space="preserve">A cut to Capital Markets expectations because lending activity has weakened further.</w:t>
      </w:r>
    </w:p>
    <w:p>
      <w:pPr>
        <w:pStyle w:val="Compact"/>
        <w:numPr>
          <w:ilvl w:val="0"/>
          <w:numId w:val="1008"/>
        </w:numPr>
      </w:pPr>
      <w:r>
        <w:t xml:space="preserve">Recurring growth that trails reported/pro-forma growth due to license or other nonrecurring benefits.</w:t>
      </w:r>
    </w:p>
    <w:p>
      <w:pPr>
        <w:pStyle w:val="Compact"/>
        <w:numPr>
          <w:ilvl w:val="0"/>
          <w:numId w:val="1008"/>
        </w:numPr>
      </w:pPr>
      <w:r>
        <w:t xml:space="preserve">Reduced confidence in the 95–110 bps full-year margin-expansion target.</w:t>
      </w:r>
    </w:p>
    <w:p>
      <w:pPr>
        <w:pStyle w:val="Compact"/>
        <w:numPr>
          <w:ilvl w:val="0"/>
          <w:numId w:val="1008"/>
        </w:numPr>
      </w:pPr>
      <w:r>
        <w:t xml:space="preserve">Weaker-than-expected free-cash-flow conversion or a slower deleveraging path.</w:t>
      </w:r>
    </w:p>
    <w:p>
      <w:pPr>
        <w:pStyle w:val="Compact"/>
        <w:numPr>
          <w:ilvl w:val="0"/>
          <w:numId w:val="1008"/>
        </w:numPr>
      </w:pPr>
      <w:r>
        <w:t xml:space="preserve">Incremental integration costs, customer churn, or execution issues tied to Total Issuing Solutions.</w:t>
      </w:r>
    </w:p>
    <w:p>
      <w:pPr>
        <w:pStyle w:val="Compact"/>
        <w:numPr>
          <w:ilvl w:val="0"/>
          <w:numId w:val="1008"/>
        </w:numPr>
      </w:pPr>
      <w:r>
        <w:t xml:space="preserve">Commentary implying that the strong ACV pipeline will take longer than expected to convert.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FIS has set a manageable 2Q hurdle, but the market’s attention should be on</w:t>
      </w:r>
      <w:r>
        <w:t xml:space="preserve"> </w:t>
      </w:r>
      <w:r>
        <w:rPr>
          <w:b/>
          <w:bCs/>
        </w:rPr>
        <w:t xml:space="preserve">quality rather than headline growth</w:t>
      </w:r>
      <w:r>
        <w:t xml:space="preserve">. A favorable report would show:</w:t>
      </w:r>
    </w:p>
    <w:p>
      <w:pPr>
        <w:pStyle w:val="Compact"/>
        <w:numPr>
          <w:ilvl w:val="0"/>
          <w:numId w:val="1009"/>
        </w:numPr>
      </w:pPr>
      <w:r>
        <w:t xml:space="preserve">Banking recurring growth holding firm;</w:t>
      </w:r>
    </w:p>
    <w:p>
      <w:pPr>
        <w:pStyle w:val="Compact"/>
        <w:numPr>
          <w:ilvl w:val="0"/>
          <w:numId w:val="1009"/>
        </w:numPr>
      </w:pPr>
      <w:r>
        <w:t xml:space="preserve">Capital Markets stabilizing despite lending softness;</w:t>
      </w:r>
    </w:p>
    <w:p>
      <w:pPr>
        <w:pStyle w:val="Compact"/>
        <w:numPr>
          <w:ilvl w:val="0"/>
          <w:numId w:val="1009"/>
        </w:numPr>
      </w:pPr>
      <w:r>
        <w:t xml:space="preserve">continued margin expansion;</w:t>
      </w:r>
    </w:p>
    <w:p>
      <w:pPr>
        <w:pStyle w:val="Compact"/>
        <w:numPr>
          <w:ilvl w:val="0"/>
          <w:numId w:val="1009"/>
        </w:numPr>
      </w:pPr>
      <w:r>
        <w:t xml:space="preserve">strong free-cash-flow generation; and</w:t>
      </w:r>
    </w:p>
    <w:p>
      <w:pPr>
        <w:pStyle w:val="Compact"/>
        <w:numPr>
          <w:ilvl w:val="0"/>
          <w:numId w:val="1009"/>
        </w:numPr>
      </w:pPr>
      <w:r>
        <w:t xml:space="preserve">the first visible ramp in issuer-business synergies.</w:t>
      </w:r>
    </w:p>
    <w:p>
      <w:pPr>
        <w:pStyle w:val="FirstParagraph"/>
      </w:pPr>
      <w:r>
        <w:t xml:space="preserve">An in-line quarter paired with confident full-year guidance should reinforce the investment case that FIS is becoming a higher-margin, more payments-oriented, cash-generative fintech platform. Conversely, any evidence that Capital Markets weakness is broadening or that issuer integration is delaying cash-flow and deleveraging progress would pressure the central 2026–2028 earnings narrative.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2026-08-04T00:32:25Z</dcterms:created>
  <dcterms:modified xsi:type="dcterms:W3CDTF">2026-08-04T00:32:25Z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