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FIS (Fidelity National Information Services) — Q2 2026 Earnings Preview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Ticker</w:t>
            </w:r>
          </w:p>
        </w:tc>
        <w:tc>
          <w:tcPr>
            <w:tcW w:type="dxa" w:w="1440"/>
          </w:tcPr>
          <w:p>
            <w:r>
              <w:rPr>
                <w:rFonts w:ascii="Calibri" w:hAnsi="Calibri"/>
                <w:sz w:val="22"/>
              </w:rPr>
              <w:t>FIS</w:t>
            </w:r>
          </w:p>
        </w:tc>
        <w:tc>
          <w:tcPr>
            <w:tcW w:type="dxa" w:w="1440"/>
          </w:tcPr>
          <w:p>
            <w:r>
              <w:rPr>
                <w:rFonts w:ascii="Calibri" w:hAnsi="Calibri"/>
                <w:b/>
                <w:sz w:val="22"/>
              </w:rPr>
              <w:t>Earnings Date</w:t>
            </w:r>
          </w:p>
        </w:tc>
        <w:tc>
          <w:tcPr>
            <w:tcW w:type="dxa" w:w="1440"/>
          </w:tcPr>
          <w:p>
            <w:r>
              <w:rPr>
                <w:rFonts w:ascii="Calibri" w:hAnsi="Calibri"/>
                <w:sz w:val="22"/>
              </w:rPr>
              <w:t>August 4, 2026 (pre-market)</w:t>
            </w:r>
          </w:p>
        </w:tc>
        <w:tc>
          <w:tcPr>
            <w:tcW w:type="dxa" w:w="1440"/>
          </w:tcPr>
          <w:p>
            <w:r>
              <w:rPr>
                <w:rFonts w:ascii="Calibri" w:hAnsi="Calibri"/>
                <w:b/>
                <w:sz w:val="22"/>
              </w:rPr>
              <w:t>Prepared</w:t>
            </w:r>
          </w:p>
        </w:tc>
        <w:tc>
          <w:tcPr>
            <w:tcW w:type="dxa" w:w="1440"/>
          </w:tcPr>
          <w:p>
            <w:r>
              <w:rPr>
                <w:rFonts w:ascii="Calibri" w:hAnsi="Calibri"/>
                <w:sz w:val="22"/>
              </w:rPr>
              <w:t>August 3, 2026</w:t>
            </w:r>
          </w:p>
        </w:tc>
      </w:tr>
      <w:tr>
        <w:tc>
          <w:tcPr>
            <w:tcW w:type="dxa" w:w="1440"/>
          </w:tcPr>
          <w:p>
            <w:r>
              <w:rPr>
                <w:rFonts w:ascii="Calibri" w:hAnsi="Calibri"/>
                <w:b/>
                <w:sz w:val="22"/>
              </w:rPr>
              <w:t>Reporting Period</w:t>
            </w:r>
          </w:p>
        </w:tc>
        <w:tc>
          <w:tcPr>
            <w:tcW w:type="dxa" w:w="1440"/>
          </w:tcPr>
          <w:p>
            <w:r>
              <w:rPr>
                <w:rFonts w:ascii="Calibri" w:hAnsi="Calibri"/>
                <w:sz w:val="22"/>
              </w:rPr>
              <w:t>Q2 2026</w:t>
            </w:r>
          </w:p>
        </w:tc>
        <w:tc>
          <w:tcPr>
            <w:tcW w:type="dxa" w:w="1440"/>
          </w:tcPr>
          <w:p>
            <w:r>
              <w:rPr>
                <w:rFonts w:ascii="Calibri" w:hAnsi="Calibri"/>
                <w:b/>
                <w:sz w:val="22"/>
              </w:rPr>
              <w:t>Last Earnings</w:t>
            </w:r>
          </w:p>
        </w:tc>
        <w:tc>
          <w:tcPr>
            <w:tcW w:type="dxa" w:w="1440"/>
          </w:tcPr>
          <w:p>
            <w:r>
              <w:rPr>
                <w:rFonts w:ascii="Calibri" w:hAnsi="Calibri"/>
                <w:sz w:val="22"/>
              </w:rPr>
              <w:t>May 8, 2026 (Q1 2026)</w:t>
            </w:r>
          </w:p>
        </w:tc>
        <w:tc>
          <w:tcPr>
            <w:tcW w:type="dxa" w:w="1440"/>
          </w:tcPr>
          <w:p>
            <w:r>
              <w:rPr>
                <w:rFonts w:ascii="Calibri" w:hAnsi="Calibri"/>
                <w:b/>
                <w:sz w:val="22"/>
              </w:rPr>
              <w:t>Sector ETF</w:t>
            </w:r>
          </w:p>
        </w:tc>
        <w:tc>
          <w:tcPr>
            <w:tcW w:type="dxa" w:w="1440"/>
          </w:tcPr>
          <w:p>
            <w:r>
              <w:rPr>
                <w:rFonts w:ascii="Calibri" w:hAnsi="Calibri"/>
                <w:sz w:val="22"/>
              </w:rPr>
              <w:t>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just above the midpoint of FIS's own guidance range, the bar is achievable, and the biggest swing factor is whether </w:t>
      </w:r>
      <w:r>
        <w:rPr>
          <w:rFonts w:ascii="Calibri" w:hAnsi="Calibri"/>
          <w:b/>
          <w:color w:val="525866"/>
          <w:sz w:val="22"/>
        </w:rPr>
        <w:t>capital markets lending softness</w:t>
      </w:r>
      <w:r>
        <w:rPr>
          <w:rFonts w:ascii="Calibri" w:hAnsi="Calibri"/>
          <w:color w:val="525866"/>
          <w:sz w:val="22"/>
        </w:rPr>
        <w:t xml:space="preserve"> proves more transitory than feared or continues to weigh on the segment.</w:t>
      </w:r>
    </w:p>
    <w:p>
      <w:r>
        <w:rPr>
          <w:rFonts w:ascii="Calibri" w:hAnsi="Calibri"/>
          <w:color w:val="525866"/>
          <w:sz w:val="22"/>
        </w:rPr>
        <w:t xml:space="preserve">Heading into Q2 2026, FIS carries a clean setup: consensus EPS of $1.47 sits at the midpoint of the company's own $1.45–$1.49 guidance range, and revenue consensus of ~$3.38B aligns with the 4.9%–5.5% pro forma growth guide issued on the Q1 call. Management's tone coming out of Q1 was notably confident — the CEO described FIS as "better positioned today than it has ever been" — and the full-year outlook was reiterated in full, with </w:t>
      </w:r>
      <w:r>
        <w:rPr>
          <w:rFonts w:ascii="Calibri" w:hAnsi="Calibri"/>
          <w:b/>
          <w:color w:val="525866"/>
          <w:sz w:val="22"/>
        </w:rPr>
        <w:t>banking tracking toward the upper end</w:t>
      </w:r>
      <w:r>
        <w:rPr>
          <w:rFonts w:ascii="Calibri" w:hAnsi="Calibri"/>
          <w:color w:val="525866"/>
          <w:sz w:val="22"/>
        </w:rPr>
        <w:t xml:space="preserve"> of its range and capital markets toward the lower end due to macro-driven lending softness. Estimate revisions since the Q1 print have been essentially flat, with the post-earnings baseline holding steady, suggesting the street has largely digested the Q2 guide and is not pricing in incremental upside or downside. The stock has underperformed since the Q1 print (FIS +3.0% vs. IGV +6.9% and SPY +2.7% since May 8), reflecting lingering investor skepticism around the capital markets headwind and the Pismo/Visa competitive narrative, which leaves the stock with a relatively undemanding setup — not pricing in a beat. The key wildcard is </w:t>
      </w:r>
      <w:r>
        <w:rPr>
          <w:rFonts w:ascii="Calibri" w:hAnsi="Calibri"/>
          <w:b/>
          <w:color w:val="525866"/>
          <w:sz w:val="22"/>
        </w:rPr>
        <w:t>capital markets recurring revenue growth</w:t>
      </w:r>
      <w:r>
        <w:rPr>
          <w:rFonts w:ascii="Calibri" w:hAnsi="Calibri"/>
          <w:color w:val="525866"/>
          <w:sz w:val="22"/>
        </w:rPr>
        <w:t>: management guided 3%–4% total growth for Q2 (including a 125 bps license timing drag and ~50 bps from lending softness), but recurring ACV in capital markets surged 45% in Q1, and any sign that lending volumes are stabilizing could drive a meaningful positive surprise in the segment.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fair bar</w:t>
      </w:r>
      <w:r>
        <w:rPr>
          <w:rFonts w:ascii="Calibri" w:hAnsi="Calibri"/>
          <w:b/>
          <w:color w:val="525866"/>
          <w:sz w:val="22"/>
        </w:rPr>
        <w:t xml:space="preserve"> — aligned with the midpoint of company guidance across all key metrics. The bigger swing factor is </w:t>
      </w:r>
      <w:r>
        <w:rPr>
          <w:rFonts w:ascii="Calibri" w:hAnsi="Calibri"/>
          <w:b/>
          <w:color w:val="525866"/>
          <w:sz w:val="22"/>
        </w:rPr>
        <w:t>banking organic revenue growth</w:t>
      </w:r>
      <w:r>
        <w:rPr>
          <w:rFonts w:ascii="Calibri" w:hAnsi="Calibri"/>
          <w:color w:val="525866"/>
          <w:sz w:val="22"/>
        </w:rPr>
        <w:t xml:space="preserve"> (tracking toward the upper end of the 5%–5.5% FY range) vs. </w:t>
      </w:r>
      <w:r>
        <w:rPr>
          <w:rFonts w:ascii="Calibri" w:hAnsi="Calibri"/>
          <w:b/>
          <w:color w:val="525866"/>
          <w:sz w:val="22"/>
        </w:rPr>
        <w:t>capital markets</w:t>
      </w:r>
      <w:r>
        <w:rPr>
          <w:rFonts w:ascii="Calibri" w:hAnsi="Calibri"/>
          <w:color w:val="525866"/>
          <w:sz w:val="22"/>
        </w:rPr>
        <w:t xml:space="preserve"> (tracking toward the lower end of 5.5%–6.5% FY range due to lending softness).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 Operating ($B)</w:t>
            </w:r>
          </w:p>
        </w:tc>
        <w:tc>
          <w:tcPr>
            <w:tcW w:type="dxa" w:w="1234"/>
          </w:tcPr>
          <w:p>
            <w:r>
              <w:rPr>
                <w:rFonts w:ascii="Calibri" w:hAnsi="Calibri"/>
                <w:sz w:val="22"/>
              </w:rPr>
              <w:t>$3.295B</w:t>
            </w:r>
          </w:p>
        </w:tc>
        <w:tc>
          <w:tcPr>
            <w:tcW w:type="dxa" w:w="1234"/>
          </w:tcPr>
          <w:p>
            <w:r>
              <w:rPr>
                <w:rFonts w:ascii="Calibri" w:hAnsi="Calibri"/>
                <w:sz w:val="22"/>
              </w:rPr>
              <w:t>$2.616B</w:t>
            </w:r>
          </w:p>
        </w:tc>
        <w:tc>
          <w:tcPr>
            <w:tcW w:type="dxa" w:w="1234"/>
          </w:tcPr>
          <w:p>
            <w:r>
              <w:rPr>
                <w:rFonts w:ascii="Calibri" w:hAnsi="Calibri"/>
                <w:sz w:val="22"/>
              </w:rPr>
              <w:t>$3.385B</w:t>
            </w:r>
          </w:p>
        </w:tc>
        <w:tc>
          <w:tcPr>
            <w:tcW w:type="dxa" w:w="1234"/>
          </w:tcPr>
          <w:p>
            <w:r>
              <w:rPr>
                <w:rFonts w:ascii="Calibri" w:hAnsi="Calibri"/>
                <w:sz w:val="22"/>
              </w:rPr>
              <w:t>+29.4% YoY</w:t>
            </w:r>
          </w:p>
        </w:tc>
        <w:tc>
          <w:tcPr>
            <w:tcW w:type="dxa" w:w="1234"/>
          </w:tcPr>
          <w:p>
            <w:r>
              <w:rPr>
                <w:rFonts w:ascii="Calibri" w:hAnsi="Calibri"/>
                <w:sz w:val="22"/>
              </w:rPr>
              <w:t>Pro forma +4.9% to +5.5%</w:t>
            </w:r>
          </w:p>
        </w:tc>
        <w:tc>
          <w:tcPr>
            <w:tcW w:type="dxa" w:w="1234"/>
          </w:tcPr>
          <w:p>
            <w:r>
              <w:rPr>
                <w:rFonts w:ascii="Calibri" w:hAnsi="Calibri"/>
                <w:sz w:val="22"/>
              </w:rPr>
              <w:t>~+0.0% (at midpoint)</w:t>
            </w:r>
          </w:p>
        </w:tc>
      </w:tr>
      <w:tr>
        <w:tc>
          <w:tcPr>
            <w:tcW w:type="dxa" w:w="1234"/>
          </w:tcPr>
          <w:p>
            <w:r>
              <w:rPr>
                <w:rFonts w:ascii="Calibri" w:hAnsi="Calibri"/>
                <w:sz w:val="22"/>
              </w:rPr>
              <w:t>Revenue - Banking Solutions ($B)</w:t>
            </w:r>
          </w:p>
        </w:tc>
        <w:tc>
          <w:tcPr>
            <w:tcW w:type="dxa" w:w="1234"/>
          </w:tcPr>
          <w:p>
            <w:r>
              <w:rPr>
                <w:rFonts w:ascii="Calibri" w:hAnsi="Calibri"/>
                <w:sz w:val="22"/>
              </w:rPr>
              <w:t>$2.374B</w:t>
            </w:r>
          </w:p>
        </w:tc>
        <w:tc>
          <w:tcPr>
            <w:tcW w:type="dxa" w:w="1234"/>
          </w:tcPr>
          <w:p>
            <w:r>
              <w:rPr>
                <w:rFonts w:ascii="Calibri" w:hAnsi="Calibri"/>
                <w:sz w:val="22"/>
              </w:rPr>
              <w:t>$1.808B</w:t>
            </w:r>
          </w:p>
        </w:tc>
        <w:tc>
          <w:tcPr>
            <w:tcW w:type="dxa" w:w="1234"/>
          </w:tcPr>
          <w:p>
            <w:r>
              <w:rPr>
                <w:rFonts w:ascii="Calibri" w:hAnsi="Calibri"/>
                <w:sz w:val="22"/>
              </w:rPr>
              <w:t>$2.481B</w:t>
            </w:r>
          </w:p>
        </w:tc>
        <w:tc>
          <w:tcPr>
            <w:tcW w:type="dxa" w:w="1234"/>
          </w:tcPr>
          <w:p>
            <w:r>
              <w:rPr>
                <w:rFonts w:ascii="Calibri" w:hAnsi="Calibri"/>
                <w:sz w:val="22"/>
              </w:rPr>
              <w:t>+37.2% YoY</w:t>
            </w:r>
          </w:p>
        </w:tc>
        <w:tc>
          <w:tcPr>
            <w:tcW w:type="dxa" w:w="1234"/>
          </w:tcPr>
          <w:p>
            <w:r>
              <w:rPr>
                <w:rFonts w:ascii="Calibri" w:hAnsi="Calibri"/>
                <w:sz w:val="22"/>
              </w:rPr>
              <w:t>+5.5% to +6.0% pro forma</w:t>
            </w:r>
          </w:p>
        </w:tc>
        <w:tc>
          <w:tcPr>
            <w:tcW w:type="dxa" w:w="1234"/>
          </w:tcPr>
          <w:p>
            <w:r>
              <w:rPr>
                <w:rFonts w:ascii="Calibri" w:hAnsi="Calibri"/>
                <w:sz w:val="22"/>
              </w:rPr>
              <w:t>~+0.1% vs. midpoint</w:t>
            </w:r>
          </w:p>
        </w:tc>
      </w:tr>
      <w:tr>
        <w:tc>
          <w:tcPr>
            <w:tcW w:type="dxa" w:w="1234"/>
          </w:tcPr>
          <w:p>
            <w:r>
              <w:rPr>
                <w:rFonts w:ascii="Calibri" w:hAnsi="Calibri"/>
                <w:sz w:val="22"/>
              </w:rPr>
              <w:t>Revenue - Capital Markets ($B)</w:t>
            </w:r>
          </w:p>
        </w:tc>
        <w:tc>
          <w:tcPr>
            <w:tcW w:type="dxa" w:w="1234"/>
          </w:tcPr>
          <w:p>
            <w:r>
              <w:rPr>
                <w:rFonts w:ascii="Calibri" w:hAnsi="Calibri"/>
                <w:sz w:val="22"/>
              </w:rPr>
              <w:t>$0.823B</w:t>
            </w:r>
          </w:p>
        </w:tc>
        <w:tc>
          <w:tcPr>
            <w:tcW w:type="dxa" w:w="1234"/>
          </w:tcPr>
          <w:p>
            <w:r>
              <w:rPr>
                <w:rFonts w:ascii="Calibri" w:hAnsi="Calibri"/>
                <w:sz w:val="22"/>
              </w:rPr>
              <w:t>$0.765B</w:t>
            </w:r>
          </w:p>
        </w:tc>
        <w:tc>
          <w:tcPr>
            <w:tcW w:type="dxa" w:w="1234"/>
          </w:tcPr>
          <w:p>
            <w:r>
              <w:rPr>
                <w:rFonts w:ascii="Calibri" w:hAnsi="Calibri"/>
                <w:sz w:val="22"/>
              </w:rPr>
              <w:t>$0.814B</w:t>
            </w:r>
          </w:p>
        </w:tc>
        <w:tc>
          <w:tcPr>
            <w:tcW w:type="dxa" w:w="1234"/>
          </w:tcPr>
          <w:p>
            <w:r>
              <w:rPr>
                <w:rFonts w:ascii="Calibri" w:hAnsi="Calibri"/>
                <w:sz w:val="22"/>
              </w:rPr>
              <w:t>+6.4% YoY</w:t>
            </w:r>
          </w:p>
        </w:tc>
        <w:tc>
          <w:tcPr>
            <w:tcW w:type="dxa" w:w="1234"/>
          </w:tcPr>
          <w:p>
            <w:r>
              <w:rPr>
                <w:rFonts w:ascii="Calibri" w:hAnsi="Calibri"/>
                <w:sz w:val="22"/>
              </w:rPr>
              <w:t>+3.0% to +4.0% pro forma</w:t>
            </w:r>
          </w:p>
        </w:tc>
        <w:tc>
          <w:tcPr>
            <w:tcW w:type="dxa" w:w="1234"/>
          </w:tcPr>
          <w:p>
            <w:r>
              <w:rPr>
                <w:rFonts w:ascii="Calibri" w:hAnsi="Calibri"/>
                <w:sz w:val="22"/>
              </w:rPr>
              <w:t>-0.4% vs. midpoint</w:t>
            </w:r>
          </w:p>
        </w:tc>
      </w:tr>
      <w:tr>
        <w:tc>
          <w:tcPr>
            <w:tcW w:type="dxa" w:w="1234"/>
          </w:tcPr>
          <w:p>
            <w:r>
              <w:rPr>
                <w:rFonts w:ascii="Calibri" w:hAnsi="Calibri"/>
                <w:sz w:val="22"/>
              </w:rPr>
              <w:t>Revenue - Payments ($B)</w:t>
            </w:r>
          </w:p>
        </w:tc>
        <w:tc>
          <w:tcPr>
            <w:tcW w:type="dxa" w:w="1234"/>
          </w:tcPr>
          <w:p>
            <w:r>
              <w:rPr>
                <w:rFonts w:ascii="Calibri" w:hAnsi="Calibri"/>
                <w:sz w:val="22"/>
              </w:rPr>
              <w:t>$1.320B</w:t>
            </w:r>
          </w:p>
        </w:tc>
        <w:tc>
          <w:tcPr>
            <w:tcW w:type="dxa" w:w="1234"/>
          </w:tcPr>
          <w:p>
            <w:r>
              <w:rPr>
                <w:rFonts w:ascii="Calibri" w:hAnsi="Calibri"/>
                <w:sz w:val="22"/>
              </w:rPr>
              <w:t>$1.386B</w:t>
            </w:r>
          </w:p>
        </w:tc>
        <w:tc>
          <w:tcPr>
            <w:tcW w:type="dxa" w:w="1234"/>
          </w:tcPr>
          <w:p>
            <w:r>
              <w:rPr>
                <w:rFonts w:ascii="Calibri" w:hAnsi="Calibri"/>
                <w:sz w:val="22"/>
              </w:rPr>
              <w:t>$1.467B</w:t>
            </w:r>
          </w:p>
        </w:tc>
        <w:tc>
          <w:tcPr>
            <w:tcW w:type="dxa" w:w="1234"/>
          </w:tcPr>
          <w:p>
            <w:r>
              <w:rPr>
                <w:rFonts w:ascii="Calibri" w:hAnsi="Calibri"/>
                <w:sz w:val="22"/>
              </w:rPr>
              <w:t>+5.8% YoY</w:t>
            </w:r>
          </w:p>
        </w:tc>
        <w:tc>
          <w:tcPr>
            <w:tcW w:type="dxa" w:w="1234"/>
          </w:tcPr>
          <w:p>
            <w:r>
              <w:rPr>
                <w:rFonts w:ascii="Calibri" w:hAnsi="Calibri"/>
                <w:sz w:val="22"/>
              </w:rPr>
              <w:t>Included in Banking segment</w:t>
            </w:r>
          </w:p>
        </w:tc>
        <w:tc>
          <w:tcPr>
            <w:tcW w:type="dxa" w:w="1234"/>
          </w:tcPr>
          <w:p>
            <w:r>
              <w:rPr>
                <w:rFonts w:ascii="Calibri" w:hAnsi="Calibri"/>
                <w:sz w:val="22"/>
              </w:rPr>
              <w:t>N/A (segment-level)</w:t>
            </w:r>
          </w:p>
        </w:tc>
      </w:tr>
      <w:tr>
        <w:tc>
          <w:tcPr>
            <w:tcW w:type="dxa" w:w="1234"/>
          </w:tcPr>
          <w:p>
            <w:r>
              <w:rPr>
                <w:rFonts w:ascii="Calibri" w:hAnsi="Calibri"/>
                <w:sz w:val="22"/>
              </w:rPr>
              <w:t>Adj. EBITDA - Operating ($B)</w:t>
            </w:r>
          </w:p>
        </w:tc>
        <w:tc>
          <w:tcPr>
            <w:tcW w:type="dxa" w:w="1234"/>
          </w:tcPr>
          <w:p>
            <w:r>
              <w:rPr>
                <w:rFonts w:ascii="Calibri" w:hAnsi="Calibri"/>
                <w:sz w:val="22"/>
              </w:rPr>
              <w:t>$1.304B</w:t>
            </w:r>
          </w:p>
        </w:tc>
        <w:tc>
          <w:tcPr>
            <w:tcW w:type="dxa" w:w="1234"/>
          </w:tcPr>
          <w:p>
            <w:r>
              <w:rPr>
                <w:rFonts w:ascii="Calibri" w:hAnsi="Calibri"/>
                <w:sz w:val="22"/>
              </w:rPr>
              <w:t>$1.041B</w:t>
            </w:r>
          </w:p>
        </w:tc>
        <w:tc>
          <w:tcPr>
            <w:tcW w:type="dxa" w:w="1234"/>
          </w:tcPr>
          <w:p>
            <w:r>
              <w:rPr>
                <w:rFonts w:ascii="Calibri" w:hAnsi="Calibri"/>
                <w:sz w:val="22"/>
              </w:rPr>
              <w:t>$1.406B</w:t>
            </w:r>
          </w:p>
        </w:tc>
        <w:tc>
          <w:tcPr>
            <w:tcW w:type="dxa" w:w="1234"/>
          </w:tcPr>
          <w:p>
            <w:r>
              <w:rPr>
                <w:rFonts w:ascii="Calibri" w:hAnsi="Calibri"/>
                <w:sz w:val="22"/>
              </w:rPr>
              <w:t>+35.0% YoY</w:t>
            </w:r>
          </w:p>
        </w:tc>
        <w:tc>
          <w:tcPr>
            <w:tcW w:type="dxa" w:w="1234"/>
          </w:tcPr>
          <w:p>
            <w:r>
              <w:rPr>
                <w:rFonts w:ascii="Calibri" w:hAnsi="Calibri"/>
                <w:sz w:val="22"/>
              </w:rPr>
              <w:t>Margin +170 bps YoY; +75–110 bps per segment</w:t>
            </w:r>
          </w:p>
        </w:tc>
        <w:tc>
          <w:tcPr>
            <w:tcW w:type="dxa" w:w="1234"/>
          </w:tcPr>
          <w:p>
            <w:r>
              <w:rPr>
                <w:rFonts w:ascii="Calibri" w:hAnsi="Calibri"/>
                <w:sz w:val="22"/>
              </w:rPr>
              <w:t>~+0.0% vs. midpoint</w:t>
            </w:r>
          </w:p>
        </w:tc>
      </w:tr>
      <w:tr>
        <w:tc>
          <w:tcPr>
            <w:tcW w:type="dxa" w:w="1234"/>
          </w:tcPr>
          <w:p>
            <w:r>
              <w:rPr>
                <w:rFonts w:ascii="Calibri" w:hAnsi="Calibri"/>
                <w:sz w:val="22"/>
              </w:rPr>
              <w:t>Adj. EPS - Diluted - Operating ($)</w:t>
            </w:r>
          </w:p>
        </w:tc>
        <w:tc>
          <w:tcPr>
            <w:tcW w:type="dxa" w:w="1234"/>
          </w:tcPr>
          <w:p>
            <w:r>
              <w:rPr>
                <w:rFonts w:ascii="Calibri" w:hAnsi="Calibri"/>
                <w:sz w:val="22"/>
              </w:rPr>
              <w:t>$1.364</w:t>
            </w:r>
          </w:p>
        </w:tc>
        <w:tc>
          <w:tcPr>
            <w:tcW w:type="dxa" w:w="1234"/>
          </w:tcPr>
          <w:p>
            <w:r>
              <w:rPr>
                <w:rFonts w:ascii="Calibri" w:hAnsi="Calibri"/>
                <w:sz w:val="22"/>
              </w:rPr>
              <w:t>$1.369</w:t>
            </w:r>
          </w:p>
        </w:tc>
        <w:tc>
          <w:tcPr>
            <w:tcW w:type="dxa" w:w="1234"/>
          </w:tcPr>
          <w:p>
            <w:r>
              <w:rPr>
                <w:rFonts w:ascii="Calibri" w:hAnsi="Calibri"/>
                <w:sz w:val="22"/>
              </w:rPr>
              <w:t>$1.470</w:t>
            </w:r>
          </w:p>
        </w:tc>
        <w:tc>
          <w:tcPr>
            <w:tcW w:type="dxa" w:w="1234"/>
          </w:tcPr>
          <w:p>
            <w:r>
              <w:rPr>
                <w:rFonts w:ascii="Calibri" w:hAnsi="Calibri"/>
                <w:sz w:val="22"/>
              </w:rPr>
              <w:t>+7.4% YoY</w:t>
            </w:r>
          </w:p>
        </w:tc>
        <w:tc>
          <w:tcPr>
            <w:tcW w:type="dxa" w:w="1234"/>
          </w:tcPr>
          <w:p>
            <w:r>
              <w:rPr>
                <w:rFonts w:ascii="Calibri" w:hAnsi="Calibri"/>
                <w:sz w:val="22"/>
              </w:rPr>
              <w:t>$1.45–$1.49 (+7%–10%)</w:t>
            </w:r>
          </w:p>
        </w:tc>
        <w:tc>
          <w:tcPr>
            <w:tcW w:type="dxa" w:w="1234"/>
          </w:tcPr>
          <w:p>
            <w:r>
              <w:rPr>
                <w:rFonts w:ascii="Calibri" w:hAnsi="Calibri"/>
                <w:sz w:val="22"/>
              </w:rPr>
              <w:t>+0.0% vs. midpoint ($1.47)</w:t>
            </w:r>
          </w:p>
        </w:tc>
      </w:tr>
      <w:tr>
        <w:tc>
          <w:tcPr>
            <w:tcW w:type="dxa" w:w="1234"/>
          </w:tcPr>
          <w:p>
            <w:r>
              <w:rPr>
                <w:rFonts w:ascii="Calibri" w:hAnsi="Calibri"/>
                <w:sz w:val="22"/>
              </w:rPr>
              <w:t>Banking Organic Revenue Growth (%)</w:t>
            </w:r>
          </w:p>
        </w:tc>
        <w:tc>
          <w:tcPr>
            <w:tcW w:type="dxa" w:w="1234"/>
          </w:tcPr>
          <w:p>
            <w:r>
              <w:rPr>
                <w:rFonts w:ascii="Calibri" w:hAnsi="Calibri"/>
                <w:sz w:val="22"/>
              </w:rPr>
              <w:t>5.0%</w:t>
            </w:r>
          </w:p>
        </w:tc>
        <w:tc>
          <w:tcPr>
            <w:tcW w:type="dxa" w:w="1234"/>
          </w:tcPr>
          <w:p>
            <w:r>
              <w:rPr>
                <w:rFonts w:ascii="Calibri" w:hAnsi="Calibri"/>
                <w:sz w:val="22"/>
              </w:rPr>
              <w:t>4.7%</w:t>
            </w:r>
          </w:p>
        </w:tc>
        <w:tc>
          <w:tcPr>
            <w:tcW w:type="dxa" w:w="1234"/>
          </w:tcPr>
          <w:p>
            <w:r>
              <w:rPr>
                <w:rFonts w:ascii="Calibri" w:hAnsi="Calibri"/>
                <w:sz w:val="22"/>
              </w:rPr>
              <w:t>5.1%</w:t>
            </w:r>
          </w:p>
        </w:tc>
        <w:tc>
          <w:tcPr>
            <w:tcW w:type="dxa" w:w="1234"/>
          </w:tcPr>
          <w:p>
            <w:r>
              <w:rPr>
                <w:rFonts w:ascii="Calibri" w:hAnsi="Calibri"/>
                <w:sz w:val="22"/>
              </w:rPr>
              <w:t>+40 bps YoY</w:t>
            </w:r>
          </w:p>
        </w:tc>
        <w:tc>
          <w:tcPr>
            <w:tcW w:type="dxa" w:w="1234"/>
          </w:tcPr>
          <w:p>
            <w:r>
              <w:rPr>
                <w:rFonts w:ascii="Calibri" w:hAnsi="Calibri"/>
                <w:sz w:val="22"/>
              </w:rPr>
              <w:t>5.5%–6.0% (Q2 guide)</w:t>
            </w:r>
          </w:p>
        </w:tc>
        <w:tc>
          <w:tcPr>
            <w:tcW w:type="dxa" w:w="1234"/>
          </w:tcPr>
          <w:p>
            <w:r>
              <w:rPr>
                <w:rFonts w:ascii="Calibri" w:hAnsi="Calibri"/>
                <w:sz w:val="22"/>
              </w:rPr>
              <w:t>-0.7% vs. midpoint</w:t>
            </w:r>
          </w:p>
        </w:tc>
      </w:tr>
      <w:tr>
        <w:tc>
          <w:tcPr>
            <w:tcW w:type="dxa" w:w="1234"/>
          </w:tcPr>
          <w:p>
            <w:r>
              <w:rPr>
                <w:rFonts w:ascii="Calibri" w:hAnsi="Calibri"/>
                <w:sz w:val="22"/>
              </w:rPr>
              <w:t>Capital Markets Organic Revenue Growth (%)</w:t>
            </w:r>
          </w:p>
        </w:tc>
        <w:tc>
          <w:tcPr>
            <w:tcW w:type="dxa" w:w="1234"/>
          </w:tcPr>
          <w:p>
            <w:r>
              <w:rPr>
                <w:rFonts w:ascii="Calibri" w:hAnsi="Calibri"/>
                <w:sz w:val="22"/>
              </w:rPr>
              <w:t>2.4%</w:t>
            </w:r>
          </w:p>
        </w:tc>
        <w:tc>
          <w:tcPr>
            <w:tcW w:type="dxa" w:w="1234"/>
          </w:tcPr>
          <w:p>
            <w:r>
              <w:rPr>
                <w:rFonts w:ascii="Calibri" w:hAnsi="Calibri"/>
                <w:sz w:val="22"/>
              </w:rPr>
              <w:t>3.6%</w:t>
            </w:r>
          </w:p>
        </w:tc>
        <w:tc>
          <w:tcPr>
            <w:tcW w:type="dxa" w:w="1234"/>
          </w:tcPr>
          <w:p>
            <w:r>
              <w:rPr>
                <w:rFonts w:ascii="Calibri" w:hAnsi="Calibri"/>
                <w:sz w:val="22"/>
              </w:rPr>
              <w:t>3.4%</w:t>
            </w:r>
          </w:p>
        </w:tc>
        <w:tc>
          <w:tcPr>
            <w:tcW w:type="dxa" w:w="1234"/>
          </w:tcPr>
          <w:p>
            <w:r>
              <w:rPr>
                <w:rFonts w:ascii="Calibri" w:hAnsi="Calibri"/>
                <w:sz w:val="22"/>
              </w:rPr>
              <w:t>-20 bps YoY</w:t>
            </w:r>
          </w:p>
        </w:tc>
        <w:tc>
          <w:tcPr>
            <w:tcW w:type="dxa" w:w="1234"/>
          </w:tcPr>
          <w:p>
            <w:r>
              <w:rPr>
                <w:rFonts w:ascii="Calibri" w:hAnsi="Calibri"/>
                <w:sz w:val="22"/>
              </w:rPr>
              <w:t>3.0%–4.0% (Q2 guide)</w:t>
            </w:r>
          </w:p>
        </w:tc>
        <w:tc>
          <w:tcPr>
            <w:tcW w:type="dxa" w:w="1234"/>
          </w:tcPr>
          <w:p>
            <w:r>
              <w:rPr>
                <w:rFonts w:ascii="Calibri" w:hAnsi="Calibri"/>
                <w:sz w:val="22"/>
              </w:rPr>
              <w:t>-0.1% vs. midpoint</w:t>
            </w:r>
          </w:p>
        </w:tc>
      </w:tr>
      <w:tr>
        <w:tc>
          <w:tcPr>
            <w:tcW w:type="dxa" w:w="1234"/>
          </w:tcPr>
          <w:p>
            <w:r>
              <w:rPr>
                <w:rFonts w:ascii="Calibri" w:hAnsi="Calibri"/>
                <w:sz w:val="22"/>
              </w:rPr>
              <w:t>Free Cash Flow - Operating ($M)</w:t>
            </w:r>
          </w:p>
        </w:tc>
        <w:tc>
          <w:tcPr>
            <w:tcW w:type="dxa" w:w="1234"/>
          </w:tcPr>
          <w:p>
            <w:r>
              <w:rPr>
                <w:rFonts w:ascii="Calibri" w:hAnsi="Calibri"/>
                <w:sz w:val="22"/>
              </w:rPr>
              <w:t>$474M</w:t>
            </w:r>
          </w:p>
        </w:tc>
        <w:tc>
          <w:tcPr>
            <w:tcW w:type="dxa" w:w="1234"/>
          </w:tcPr>
          <w:p>
            <w:r>
              <w:rPr>
                <w:rFonts w:ascii="Calibri" w:hAnsi="Calibri"/>
                <w:sz w:val="22"/>
              </w:rPr>
              <w:t>$293M</w:t>
            </w:r>
          </w:p>
        </w:tc>
        <w:tc>
          <w:tcPr>
            <w:tcW w:type="dxa" w:w="1234"/>
          </w:tcPr>
          <w:p>
            <w:r>
              <w:rPr>
                <w:rFonts w:ascii="Calibri" w:hAnsi="Calibri"/>
                <w:sz w:val="22"/>
              </w:rPr>
              <w:t>$525M</w:t>
            </w:r>
          </w:p>
        </w:tc>
        <w:tc>
          <w:tcPr>
            <w:tcW w:type="dxa" w:w="1234"/>
          </w:tcPr>
          <w:p>
            <w:r>
              <w:rPr>
                <w:rFonts w:ascii="Calibri" w:hAnsi="Calibri"/>
                <w:sz w:val="22"/>
              </w:rPr>
              <w:t>+79.2% YoY</w:t>
            </w:r>
          </w:p>
        </w:tc>
        <w:tc>
          <w:tcPr>
            <w:tcW w:type="dxa" w:w="1234"/>
          </w:tcPr>
          <w:p>
            <w:r>
              <w:rPr>
                <w:rFonts w:ascii="Calibri" w:hAnsi="Calibri"/>
                <w:sz w:val="22"/>
              </w:rPr>
              <w:t>FY target $2.1B (23% delivered in Q1)</w:t>
            </w:r>
          </w:p>
        </w:tc>
        <w:tc>
          <w:tcPr>
            <w:tcW w:type="dxa" w:w="1234"/>
          </w:tcPr>
          <w:p>
            <w:r>
              <w:rPr>
                <w:rFonts w:ascii="Calibri" w:hAnsi="Calibri"/>
                <w:sz w:val="22"/>
              </w:rPr>
              <w:t>N/A (quarterly not guided)</w:t>
            </w:r>
          </w:p>
        </w:tc>
      </w:tr>
    </w:tbl>
    <w:p>
      <w:r>
        <w:rPr>
          <w:rFonts w:ascii="Calibri" w:hAnsi="Calibri"/>
          <w:i/>
          <w:color w:val="525866"/>
          <w:sz w:val="22"/>
        </w:rPr>
        <w:t>Source: Visible Alpha Consensus and Actuals Data; FIS Q1 2026 Earnings Call (May 8, 2026). Note: Revenue figures for Q2 2026 reflect reported (non-pro-forma) basis; YoY comparisons are inflated by the Total Issuer Solutions acquisition (closed Jan 9, 2026). Pro forma organic growth guidance is the more relevant comparator for Q2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Adjusted EPS — Diluted Operating; (2) Revenue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$1.364</w:t>
            </w:r>
          </w:p>
        </w:tc>
        <w:tc>
          <w:tcPr>
            <w:tcW w:type="dxa" w:w="1440"/>
          </w:tcPr>
          <w:p>
            <w:r>
              <w:rPr>
                <w:rFonts w:ascii="Calibri" w:hAnsi="Calibri"/>
                <w:sz w:val="22"/>
              </w:rPr>
              <w:t>$1.290</w:t>
            </w:r>
          </w:p>
        </w:tc>
        <w:tc>
          <w:tcPr>
            <w:tcW w:type="dxa" w:w="1440"/>
          </w:tcPr>
          <w:p>
            <w:r>
              <w:rPr>
                <w:rFonts w:ascii="Calibri" w:hAnsi="Calibri"/>
                <w:b/>
                <w:color w:val="30A46C"/>
                <w:sz w:val="22"/>
              </w:rPr>
              <w:t>+5.7%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$3.295B</w:t>
            </w:r>
          </w:p>
        </w:tc>
        <w:tc>
          <w:tcPr>
            <w:tcW w:type="dxa" w:w="1440"/>
          </w:tcPr>
          <w:p>
            <w:r>
              <w:rPr>
                <w:rFonts w:ascii="Calibri" w:hAnsi="Calibri"/>
                <w:sz w:val="22"/>
              </w:rPr>
              <w:t>$3.282B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$1.680</w:t>
            </w:r>
          </w:p>
        </w:tc>
        <w:tc>
          <w:tcPr>
            <w:tcW w:type="dxa" w:w="1440"/>
          </w:tcPr>
          <w:p>
            <w:r>
              <w:rPr>
                <w:rFonts w:ascii="Calibri" w:hAnsi="Calibri"/>
                <w:sz w:val="22"/>
              </w:rPr>
              <w:t>$1.689</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$2.812B</w:t>
            </w:r>
          </w:p>
        </w:tc>
        <w:tc>
          <w:tcPr>
            <w:tcW w:type="dxa" w:w="1440"/>
          </w:tcPr>
          <w:p>
            <w:r>
              <w:rPr>
                <w:rFonts w:ascii="Calibri" w:hAnsi="Calibri"/>
                <w:sz w:val="22"/>
              </w:rPr>
              <w:t>$2.746B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$1.510</w:t>
            </w:r>
          </w:p>
        </w:tc>
        <w:tc>
          <w:tcPr>
            <w:tcW w:type="dxa" w:w="1440"/>
          </w:tcPr>
          <w:p>
            <w:r>
              <w:rPr>
                <w:rFonts w:ascii="Calibri" w:hAnsi="Calibri"/>
                <w:sz w:val="22"/>
              </w:rPr>
              <w:t>$1.485</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$2.717B</w:t>
            </w:r>
          </w:p>
        </w:tc>
        <w:tc>
          <w:tcPr>
            <w:tcW w:type="dxa" w:w="1440"/>
          </w:tcPr>
          <w:p>
            <w:r>
              <w:rPr>
                <w:rFonts w:ascii="Calibri" w:hAnsi="Calibri"/>
                <w:sz w:val="22"/>
              </w:rPr>
              <w:t>$2.659B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$1.369</w:t>
            </w:r>
          </w:p>
        </w:tc>
        <w:tc>
          <w:tcPr>
            <w:tcW w:type="dxa" w:w="1440"/>
          </w:tcPr>
          <w:p>
            <w:r>
              <w:rPr>
                <w:rFonts w:ascii="Calibri" w:hAnsi="Calibri"/>
                <w:sz w:val="22"/>
              </w:rPr>
              <w:t>$1.360</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$2.616B</w:t>
            </w:r>
          </w:p>
        </w:tc>
        <w:tc>
          <w:tcPr>
            <w:tcW w:type="dxa" w:w="1440"/>
          </w:tcPr>
          <w:p>
            <w:r>
              <w:rPr>
                <w:rFonts w:ascii="Calibri" w:hAnsi="Calibri"/>
                <w:sz w:val="22"/>
              </w:rPr>
              <w:t>$2.582B</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$1.210</w:t>
            </w:r>
          </w:p>
        </w:tc>
        <w:tc>
          <w:tcPr>
            <w:tcW w:type="dxa" w:w="1440"/>
          </w:tcPr>
          <w:p>
            <w:r>
              <w:rPr>
                <w:rFonts w:ascii="Calibri" w:hAnsi="Calibri"/>
                <w:sz w:val="22"/>
              </w:rPr>
              <w:t>$1.200</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$2.532B</w:t>
            </w:r>
          </w:p>
        </w:tc>
        <w:tc>
          <w:tcPr>
            <w:tcW w:type="dxa" w:w="1440"/>
          </w:tcPr>
          <w:p>
            <w:r>
              <w:rPr>
                <w:rFonts w:ascii="Calibri" w:hAnsi="Calibri"/>
                <w:sz w:val="22"/>
              </w:rPr>
              <w:t>$2.513B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$1.400</w:t>
            </w:r>
          </w:p>
        </w:tc>
        <w:tc>
          <w:tcPr>
            <w:tcW w:type="dxa" w:w="1440"/>
          </w:tcPr>
          <w:p>
            <w:r>
              <w:rPr>
                <w:rFonts w:ascii="Calibri" w:hAnsi="Calibri"/>
                <w:sz w:val="22"/>
              </w:rPr>
              <w:t>$1.381</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$2.599B</w:t>
            </w:r>
          </w:p>
        </w:tc>
        <w:tc>
          <w:tcPr>
            <w:tcW w:type="dxa" w:w="1440"/>
          </w:tcPr>
          <w:p>
            <w:r>
              <w:rPr>
                <w:rFonts w:ascii="Calibri" w:hAnsi="Calibri"/>
                <w:sz w:val="22"/>
              </w:rPr>
              <w:t>$2.633B</w:t>
            </w:r>
          </w:p>
        </w:tc>
        <w:tc>
          <w:tcPr>
            <w:tcW w:type="dxa" w:w="1440"/>
          </w:tcPr>
          <w:p>
            <w:r>
              <w:rPr>
                <w:rFonts w:ascii="Calibri" w:hAnsi="Calibri"/>
                <w:b/>
                <w:color w:val="E5484D"/>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$1.400</w:t>
            </w:r>
          </w:p>
        </w:tc>
        <w:tc>
          <w:tcPr>
            <w:tcW w:type="dxa" w:w="1440"/>
          </w:tcPr>
          <w:p>
            <w:r>
              <w:rPr>
                <w:rFonts w:ascii="Calibri" w:hAnsi="Calibri"/>
                <w:sz w:val="22"/>
              </w:rPr>
              <w:t>$1.290</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$2.570B</w:t>
            </w:r>
          </w:p>
        </w:tc>
        <w:tc>
          <w:tcPr>
            <w:tcW w:type="dxa" w:w="1440"/>
          </w:tcPr>
          <w:p>
            <w:r>
              <w:rPr>
                <w:rFonts w:ascii="Calibri" w:hAnsi="Calibri"/>
                <w:sz w:val="22"/>
              </w:rPr>
              <w:t>$2.564B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$1.343</w:t>
            </w:r>
          </w:p>
        </w:tc>
        <w:tc>
          <w:tcPr>
            <w:tcW w:type="dxa" w:w="1440"/>
          </w:tcPr>
          <w:p>
            <w:r>
              <w:rPr>
                <w:rFonts w:ascii="Calibri" w:hAnsi="Calibri"/>
                <w:sz w:val="22"/>
              </w:rPr>
              <w:t>$1.220</w:t>
            </w:r>
          </w:p>
        </w:tc>
        <w:tc>
          <w:tcPr>
            <w:tcW w:type="dxa" w:w="1440"/>
          </w:tcPr>
          <w:p>
            <w:r>
              <w:rPr>
                <w:rFonts w:ascii="Calibri" w:hAnsi="Calibri"/>
                <w:b/>
                <w:color w:val="30A46C"/>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$2.490B</w:t>
            </w:r>
          </w:p>
        </w:tc>
        <w:tc>
          <w:tcPr>
            <w:tcW w:type="dxa" w:w="1440"/>
          </w:tcPr>
          <w:p>
            <w:r>
              <w:rPr>
                <w:rFonts w:ascii="Calibri" w:hAnsi="Calibri"/>
                <w:sz w:val="22"/>
              </w:rPr>
              <w:t>$2.487B</w:t>
            </w:r>
          </w:p>
        </w:tc>
        <w:tc>
          <w:tcPr>
            <w:tcW w:type="dxa" w:w="1440"/>
          </w:tcPr>
          <w:p>
            <w:r>
              <w:rPr>
                <w:rFonts w:ascii="Calibri" w:hAnsi="Calibri"/>
                <w:b/>
                <w:color w:val="30A46C"/>
                <w:sz w:val="22"/>
              </w:rPr>
              <w:t>+0.1%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FIS has beaten EPS consensus in 7 of the last 8 quarters (the lone miss was Q4 2025, by a negligible -0.5%), and has beaten revenue consensus in 6 of the last 8 quarters, establishing a consistent track record of modest upside delivery. The Q1 2026 EPS beat of +5.7% was the largest in recent history, driven by margin outperformance.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full-year outlook reiterated in full. The tone has shifted </w:t>
      </w:r>
      <w:r>
        <w:rPr>
          <w:rFonts w:ascii="Calibri" w:hAnsi="Calibri"/>
          <w:b/>
          <w:color w:val="525866"/>
          <w:sz w:val="22"/>
        </w:rPr>
        <w:t>more confident</w:t>
      </w:r>
      <w:r>
        <w:rPr>
          <w:rFonts w:ascii="Calibri" w:hAnsi="Calibri"/>
          <w:color w:val="525866"/>
          <w:sz w:val="22"/>
        </w:rPr>
        <w:t xml:space="preserve"> on banking (tracking upper end) and </w:t>
      </w:r>
      <w:r>
        <w:rPr>
          <w:rFonts w:ascii="Calibri" w:hAnsi="Calibri"/>
          <w:b/>
          <w:color w:val="525866"/>
          <w:sz w:val="22"/>
        </w:rPr>
        <w:t>more cautious on capital markets</w:t>
      </w:r>
      <w:r>
        <w:rPr>
          <w:rFonts w:ascii="Calibri" w:hAnsi="Calibri"/>
          <w:color w:val="525866"/>
          <w:sz w:val="22"/>
        </w:rPr>
        <w:t xml:space="preserve"> (tracking lower end due to lending softness), but no formal revision has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Pro Forma Revenue Growth</w:t>
            </w:r>
          </w:p>
        </w:tc>
        <w:tc>
          <w:tcPr>
            <w:tcW w:type="dxa" w:w="1728"/>
          </w:tcPr>
          <w:p>
            <w:r>
              <w:rPr>
                <w:rFonts w:ascii="Calibri" w:hAnsi="Calibri"/>
                <w:sz w:val="22"/>
              </w:rPr>
              <w:t>+4.9% to +5.5%</w:t>
            </w:r>
          </w:p>
        </w:tc>
        <w:tc>
          <w:tcPr>
            <w:tcW w:type="dxa" w:w="1728"/>
          </w:tcPr>
          <w:p>
            <w:r>
              <w:rPr>
                <w:rFonts w:ascii="Calibri" w:hAnsi="Calibri"/>
                <w:sz w:val="22"/>
              </w:rPr>
              <w:t>—</w:t>
            </w:r>
          </w:p>
        </w:tc>
        <w:tc>
          <w:tcPr>
            <w:tcW w:type="dxa" w:w="1728"/>
          </w:tcPr>
          <w:p>
            <w:r>
              <w:rPr>
                <w:rFonts w:ascii="Calibri" w:hAnsi="Calibri"/>
                <w:sz w:val="22"/>
              </w:rPr>
              <w:t>~+5.0% (implied by $3.385B consensus vs. $3.226B pro forma Q2 2025)</w:t>
            </w:r>
          </w:p>
        </w:tc>
        <w:tc>
          <w:tcPr>
            <w:tcW w:type="dxa" w:w="1728"/>
          </w:tcPr>
          <w:p>
            <w:r>
              <w:rPr>
                <w:rFonts w:ascii="Calibri" w:hAnsi="Calibri"/>
                <w:sz w:val="22"/>
              </w:rPr>
              <w:t>No change; consensus at midpoint of range</w:t>
            </w:r>
          </w:p>
        </w:tc>
      </w:tr>
      <w:tr>
        <w:tc>
          <w:tcPr>
            <w:tcW w:type="dxa" w:w="1728"/>
          </w:tcPr>
          <w:p>
            <w:r>
              <w:rPr>
                <w:rFonts w:ascii="Calibri" w:hAnsi="Calibri"/>
                <w:sz w:val="22"/>
              </w:rPr>
              <w:t>Q2 2026 Banking Revenue Growth</w:t>
            </w:r>
          </w:p>
        </w:tc>
        <w:tc>
          <w:tcPr>
            <w:tcW w:type="dxa" w:w="1728"/>
          </w:tcPr>
          <w:p>
            <w:r>
              <w:rPr>
                <w:rFonts w:ascii="Calibri" w:hAnsi="Calibri"/>
                <w:sz w:val="22"/>
              </w:rPr>
              <w:t>+5.5% to +6.0%</w:t>
            </w:r>
          </w:p>
        </w:tc>
        <w:tc>
          <w:tcPr>
            <w:tcW w:type="dxa" w:w="1728"/>
          </w:tcPr>
          <w:p>
            <w:r>
              <w:rPr>
                <w:rFonts w:ascii="Calibri" w:hAnsi="Calibri"/>
                <w:sz w:val="22"/>
              </w:rPr>
              <w:t>—</w:t>
            </w:r>
          </w:p>
        </w:tc>
        <w:tc>
          <w:tcPr>
            <w:tcW w:type="dxa" w:w="1728"/>
          </w:tcPr>
          <w:p>
            <w:r>
              <w:rPr>
                <w:rFonts w:ascii="Calibri" w:hAnsi="Calibri"/>
                <w:sz w:val="22"/>
              </w:rPr>
              <w:t>~+5.1% organic (VA consensus)</w:t>
            </w:r>
          </w:p>
        </w:tc>
        <w:tc>
          <w:tcPr>
            <w:tcW w:type="dxa" w:w="1728"/>
          </w:tcPr>
          <w:p>
            <w:r>
              <w:rPr>
                <w:rFonts w:ascii="Calibri" w:hAnsi="Calibri"/>
                <w:sz w:val="22"/>
              </w:rPr>
              <w:t>Tracking upper end of FY range; recurring ~5% per CFO</w:t>
            </w:r>
          </w:p>
        </w:tc>
      </w:tr>
      <w:tr>
        <w:tc>
          <w:tcPr>
            <w:tcW w:type="dxa" w:w="1728"/>
          </w:tcPr>
          <w:p>
            <w:r>
              <w:rPr>
                <w:rFonts w:ascii="Calibri" w:hAnsi="Calibri"/>
                <w:sz w:val="22"/>
              </w:rPr>
              <w:t>Q2 2026 Capital Markets Revenue Growth</w:t>
            </w:r>
          </w:p>
        </w:tc>
        <w:tc>
          <w:tcPr>
            <w:tcW w:type="dxa" w:w="1728"/>
          </w:tcPr>
          <w:p>
            <w:r>
              <w:rPr>
                <w:rFonts w:ascii="Calibri" w:hAnsi="Calibri"/>
                <w:sz w:val="22"/>
              </w:rPr>
              <w:t>+3.0% to +4.0%</w:t>
            </w:r>
          </w:p>
        </w:tc>
        <w:tc>
          <w:tcPr>
            <w:tcW w:type="dxa" w:w="1728"/>
          </w:tcPr>
          <w:p>
            <w:r>
              <w:rPr>
                <w:rFonts w:ascii="Calibri" w:hAnsi="Calibri"/>
                <w:sz w:val="22"/>
              </w:rPr>
              <w:t>—</w:t>
            </w:r>
          </w:p>
        </w:tc>
        <w:tc>
          <w:tcPr>
            <w:tcW w:type="dxa" w:w="1728"/>
          </w:tcPr>
          <w:p>
            <w:r>
              <w:rPr>
                <w:rFonts w:ascii="Calibri" w:hAnsi="Calibri"/>
                <w:sz w:val="22"/>
              </w:rPr>
              <w:t>~+3.4% organic (VA consensus)</w:t>
            </w:r>
          </w:p>
        </w:tc>
        <w:tc>
          <w:tcPr>
            <w:tcW w:type="dxa" w:w="1728"/>
          </w:tcPr>
          <w:p>
            <w:r>
              <w:rPr>
                <w:rFonts w:ascii="Calibri" w:hAnsi="Calibri"/>
                <w:sz w:val="22"/>
              </w:rPr>
              <w:t>Includes 125 bps license timing drag + ~50 bps lending softness; recurring to outpace total</w:t>
            </w:r>
          </w:p>
        </w:tc>
      </w:tr>
      <w:tr>
        <w:tc>
          <w:tcPr>
            <w:tcW w:type="dxa" w:w="1728"/>
          </w:tcPr>
          <w:p>
            <w:r>
              <w:rPr>
                <w:rFonts w:ascii="Calibri" w:hAnsi="Calibri"/>
                <w:sz w:val="22"/>
              </w:rPr>
              <w:t>Q2 2026 Adj. EBITDA Margin Expansion</w:t>
            </w:r>
          </w:p>
        </w:tc>
        <w:tc>
          <w:tcPr>
            <w:tcW w:type="dxa" w:w="1728"/>
          </w:tcPr>
          <w:p>
            <w:r>
              <w:rPr>
                <w:rFonts w:ascii="Calibri" w:hAnsi="Calibri"/>
                <w:sz w:val="22"/>
              </w:rPr>
              <w:t>+170 bps YoY; +75–110 bps per segment</w:t>
            </w:r>
          </w:p>
        </w:tc>
        <w:tc>
          <w:tcPr>
            <w:tcW w:type="dxa" w:w="1728"/>
          </w:tcPr>
          <w:p>
            <w:r>
              <w:rPr>
                <w:rFonts w:ascii="Calibri" w:hAnsi="Calibri"/>
                <w:sz w:val="22"/>
              </w:rPr>
              <w:t>—</w:t>
            </w:r>
          </w:p>
        </w:tc>
        <w:tc>
          <w:tcPr>
            <w:tcW w:type="dxa" w:w="1728"/>
          </w:tcPr>
          <w:p>
            <w:r>
              <w:rPr>
                <w:rFonts w:ascii="Calibri" w:hAnsi="Calibri"/>
                <w:sz w:val="22"/>
              </w:rPr>
              <w:t>$1.406B EBITDA (VA consensus)</w:t>
            </w:r>
          </w:p>
        </w:tc>
        <w:tc>
          <w:tcPr>
            <w:tcW w:type="dxa" w:w="1728"/>
          </w:tcPr>
          <w:p>
            <w:r>
              <w:rPr>
                <w:rFonts w:ascii="Calibri" w:hAnsi="Calibri"/>
                <w:sz w:val="22"/>
              </w:rPr>
              <w:t>No change; Q1 delivered above guided range</w:t>
            </w:r>
          </w:p>
        </w:tc>
      </w:tr>
      <w:tr>
        <w:tc>
          <w:tcPr>
            <w:tcW w:type="dxa" w:w="1728"/>
          </w:tcPr>
          <w:p>
            <w:r>
              <w:rPr>
                <w:rFonts w:ascii="Calibri" w:hAnsi="Calibri"/>
                <w:sz w:val="22"/>
              </w:rPr>
              <w:t>Q2 2026 Adj. EPS Growth</w:t>
            </w:r>
          </w:p>
        </w:tc>
        <w:tc>
          <w:tcPr>
            <w:tcW w:type="dxa" w:w="1728"/>
          </w:tcPr>
          <w:p>
            <w:r>
              <w:rPr>
                <w:rFonts w:ascii="Calibri" w:hAnsi="Calibri"/>
                <w:sz w:val="22"/>
              </w:rPr>
              <w:t>+7% to +10% ($1.45–$1.49)</w:t>
            </w:r>
          </w:p>
        </w:tc>
        <w:tc>
          <w:tcPr>
            <w:tcW w:type="dxa" w:w="1728"/>
          </w:tcPr>
          <w:p>
            <w:r>
              <w:rPr>
                <w:rFonts w:ascii="Calibri" w:hAnsi="Calibri"/>
                <w:sz w:val="22"/>
              </w:rPr>
              <w:t>—</w:t>
            </w:r>
          </w:p>
        </w:tc>
        <w:tc>
          <w:tcPr>
            <w:tcW w:type="dxa" w:w="1728"/>
          </w:tcPr>
          <w:p>
            <w:r>
              <w:rPr>
                <w:rFonts w:ascii="Calibri" w:hAnsi="Calibri"/>
                <w:sz w:val="22"/>
              </w:rPr>
              <w:t>$1.47</w:t>
            </w:r>
          </w:p>
        </w:tc>
        <w:tc>
          <w:tcPr>
            <w:tcW w:type="dxa" w:w="1728"/>
          </w:tcPr>
          <w:p>
            <w:r>
              <w:rPr>
                <w:rFonts w:ascii="Calibri" w:hAnsi="Calibri"/>
                <w:sz w:val="22"/>
              </w:rPr>
              <w:t>Consensus at exact midpoint of guidance range</w:t>
            </w:r>
          </w:p>
        </w:tc>
      </w:tr>
      <w:tr>
        <w:tc>
          <w:tcPr>
            <w:tcW w:type="dxa" w:w="1728"/>
          </w:tcPr>
          <w:p>
            <w:r>
              <w:rPr>
                <w:rFonts w:ascii="Calibri" w:hAnsi="Calibri"/>
                <w:sz w:val="22"/>
              </w:rPr>
              <w:t>FY 2026 Pro Forma Revenue Growth</w:t>
            </w:r>
          </w:p>
        </w:tc>
        <w:tc>
          <w:tcPr>
            <w:tcW w:type="dxa" w:w="1728"/>
          </w:tcPr>
          <w:p>
            <w:r>
              <w:rPr>
                <w:rFonts w:ascii="Calibri" w:hAnsi="Calibri"/>
                <w:sz w:val="22"/>
              </w:rPr>
              <w:t>+5.1% to +5.7%</w:t>
            </w:r>
          </w:p>
        </w:tc>
        <w:tc>
          <w:tcPr>
            <w:tcW w:type="dxa" w:w="1728"/>
          </w:tcPr>
          <w:p>
            <w:r>
              <w:rPr>
                <w:rFonts w:ascii="Calibri" w:hAnsi="Calibri"/>
                <w:sz w:val="22"/>
              </w:rPr>
              <w:t>—</w:t>
            </w:r>
          </w:p>
        </w:tc>
        <w:tc>
          <w:tcPr>
            <w:tcW w:type="dxa" w:w="1728"/>
          </w:tcPr>
          <w:p>
            <w:r>
              <w:rPr>
                <w:rFonts w:ascii="Calibri" w:hAnsi="Calibri"/>
                <w:sz w:val="22"/>
              </w:rPr>
              <w:t>~+5.1% (VA FY consensus $13.807B)</w:t>
            </w:r>
          </w:p>
        </w:tc>
        <w:tc>
          <w:tcPr>
            <w:tcW w:type="dxa" w:w="1728"/>
          </w:tcPr>
          <w:p>
            <w:r>
              <w:rPr>
                <w:rFonts w:ascii="Calibri" w:hAnsi="Calibri"/>
                <w:sz w:val="22"/>
              </w:rPr>
              <w:t>Reiterated; banking upper end, cap mkts lower end</w:t>
            </w:r>
          </w:p>
        </w:tc>
      </w:tr>
      <w:tr>
        <w:tc>
          <w:tcPr>
            <w:tcW w:type="dxa" w:w="1728"/>
          </w:tcPr>
          <w:p>
            <w:r>
              <w:rPr>
                <w:rFonts w:ascii="Calibri" w:hAnsi="Calibri"/>
                <w:sz w:val="22"/>
              </w:rPr>
              <w:t>FY 2026 Adj. EPS Growth</w:t>
            </w:r>
          </w:p>
        </w:tc>
        <w:tc>
          <w:tcPr>
            <w:tcW w:type="dxa" w:w="1728"/>
          </w:tcPr>
          <w:p>
            <w:r>
              <w:rPr>
                <w:rFonts w:ascii="Calibri" w:hAnsi="Calibri"/>
                <w:sz w:val="22"/>
              </w:rPr>
              <w:t>+8% to +10% ($6.22–$6.32)</w:t>
            </w:r>
          </w:p>
        </w:tc>
        <w:tc>
          <w:tcPr>
            <w:tcW w:type="dxa" w:w="1728"/>
          </w:tcPr>
          <w:p>
            <w:r>
              <w:rPr>
                <w:rFonts w:ascii="Calibri" w:hAnsi="Calibri"/>
                <w:sz w:val="22"/>
              </w:rPr>
              <w:t>—</w:t>
            </w:r>
          </w:p>
        </w:tc>
        <w:tc>
          <w:tcPr>
            <w:tcW w:type="dxa" w:w="1728"/>
          </w:tcPr>
          <w:p>
            <w:r>
              <w:rPr>
                <w:rFonts w:ascii="Calibri" w:hAnsi="Calibri"/>
                <w:sz w:val="22"/>
              </w:rPr>
              <w:t>$6.28–$6.30 (VA + internet sources)</w:t>
            </w:r>
          </w:p>
        </w:tc>
        <w:tc>
          <w:tcPr>
            <w:tcW w:type="dxa" w:w="1728"/>
          </w:tcPr>
          <w:p>
            <w:r>
              <w:rPr>
                <w:rFonts w:ascii="Calibri" w:hAnsi="Calibri"/>
                <w:sz w:val="22"/>
              </w:rPr>
              <w:t>Reiterated; consensus at midpoint</w:t>
            </w:r>
          </w:p>
        </w:tc>
      </w:tr>
      <w:tr>
        <w:tc>
          <w:tcPr>
            <w:tcW w:type="dxa" w:w="1728"/>
          </w:tcPr>
          <w:p>
            <w:r>
              <w:rPr>
                <w:rFonts w:ascii="Calibri" w:hAnsi="Calibri"/>
                <w:sz w:val="22"/>
              </w:rPr>
              <w:t>FY 2026 Free Cash Flow</w:t>
            </w:r>
          </w:p>
        </w:tc>
        <w:tc>
          <w:tcPr>
            <w:tcW w:type="dxa" w:w="1728"/>
          </w:tcPr>
          <w:p>
            <w:r>
              <w:rPr>
                <w:rFonts w:ascii="Calibri" w:hAnsi="Calibri"/>
                <w:sz w:val="22"/>
              </w:rPr>
              <w:t>$2.1B target; 90% conversion</w:t>
            </w:r>
          </w:p>
        </w:tc>
        <w:tc>
          <w:tcPr>
            <w:tcW w:type="dxa" w:w="1728"/>
          </w:tcPr>
          <w:p>
            <w:r>
              <w:rPr>
                <w:rFonts w:ascii="Calibri" w:hAnsi="Calibri"/>
                <w:sz w:val="22"/>
              </w:rPr>
              <w:t>—</w:t>
            </w:r>
          </w:p>
        </w:tc>
        <w:tc>
          <w:tcPr>
            <w:tcW w:type="dxa" w:w="1728"/>
          </w:tcPr>
          <w:p>
            <w:r>
              <w:rPr>
                <w:rFonts w:ascii="Calibri" w:hAnsi="Calibri"/>
                <w:sz w:val="22"/>
              </w:rPr>
              <w:t>$2.809B (VA FY consensus)</w:t>
            </w:r>
          </w:p>
        </w:tc>
        <w:tc>
          <w:tcPr>
            <w:tcW w:type="dxa" w:w="1728"/>
          </w:tcPr>
          <w:p>
            <w:r>
              <w:rPr>
                <w:rFonts w:ascii="Calibri" w:hAnsi="Calibri"/>
                <w:sz w:val="22"/>
              </w:rPr>
              <w:t>23% of FY target delivered in Q1 alone; tracking ahead</w:t>
            </w:r>
          </w:p>
        </w:tc>
      </w:tr>
      <w:tr>
        <w:tc>
          <w:tcPr>
            <w:tcW w:type="dxa" w:w="1728"/>
          </w:tcPr>
          <w:p>
            <w:r>
              <w:rPr>
                <w:rFonts w:ascii="Calibri" w:hAnsi="Calibri"/>
                <w:sz w:val="22"/>
              </w:rPr>
              <w:t>FY 2026 EBITDA Margin Expansion</w:t>
            </w:r>
          </w:p>
        </w:tc>
        <w:tc>
          <w:tcPr>
            <w:tcW w:type="dxa" w:w="1728"/>
          </w:tcPr>
          <w:p>
            <w:r>
              <w:rPr>
                <w:rFonts w:ascii="Calibri" w:hAnsi="Calibri"/>
                <w:sz w:val="22"/>
              </w:rPr>
              <w:t>+95 to +110 bps</w:t>
            </w:r>
          </w:p>
        </w:tc>
        <w:tc>
          <w:tcPr>
            <w:tcW w:type="dxa" w:w="1728"/>
          </w:tcPr>
          <w:p>
            <w:r>
              <w:rPr>
                <w:rFonts w:ascii="Calibri" w:hAnsi="Calibri"/>
                <w:sz w:val="22"/>
              </w:rPr>
              <w:t>—</w:t>
            </w:r>
          </w:p>
        </w:tc>
        <w:tc>
          <w:tcPr>
            <w:tcW w:type="dxa" w:w="1728"/>
          </w:tcPr>
          <w:p>
            <w:r>
              <w:rPr>
                <w:rFonts w:ascii="Calibri" w:hAnsi="Calibri"/>
                <w:sz w:val="22"/>
              </w:rPr>
              <w:t>$5.827B EBITDA (VA FY consensus)</w:t>
            </w:r>
          </w:p>
        </w:tc>
        <w:tc>
          <w:tcPr>
            <w:tcW w:type="dxa" w:w="1728"/>
          </w:tcPr>
          <w:p>
            <w:r>
              <w:rPr>
                <w:rFonts w:ascii="Calibri" w:hAnsi="Calibri"/>
                <w:sz w:val="22"/>
              </w:rPr>
              <w:t>Updated from ~100 bps; Q1 delivered above range</w:t>
            </w:r>
          </w:p>
        </w:tc>
      </w:tr>
    </w:tbl>
    <w:p>
      <w:r>
        <w:rPr>
          <w:rFonts w:ascii="Calibri" w:hAnsi="Calibri"/>
          <w:i/>
          <w:color w:val="525866"/>
          <w:sz w:val="22"/>
        </w:rPr>
        <w:t>Source: FIS Q1 2026 Earnings Call Transcript (May 8,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the post-earnings baseline (as of May 13, 2026) is essentially identical to current consensus, suggesting the street fully digested the Q2 guide and full-year reiteration with no incremental revision activity. The </w:t>
      </w:r>
      <w:r>
        <w:rPr>
          <w:rFonts w:ascii="Calibri" w:hAnsi="Calibri"/>
          <w:b/>
          <w:color w:val="525866"/>
          <w:sz w:val="22"/>
        </w:rPr>
        <w:t>only meaningful divergence</w:t>
      </w:r>
      <w:r>
        <w:rPr>
          <w:rFonts w:ascii="Calibri" w:hAnsi="Calibri"/>
          <w:color w:val="525866"/>
          <w:sz w:val="22"/>
        </w:rPr>
        <w:t xml:space="preserve"> is in capital markets organic growth, where consensus sits slightly above the Q2 guidance midpoint, implying the street is not fully pricing in the lending headwind.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2026 —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Operating (Q2 2026)</w:t>
            </w:r>
          </w:p>
        </w:tc>
        <w:tc>
          <w:tcPr>
            <w:tcW w:type="dxa" w:w="1080"/>
          </w:tcPr>
          <w:p>
            <w:r>
              <w:rPr>
                <w:rFonts w:ascii="Calibri" w:hAnsi="Calibri"/>
                <w:sz w:val="22"/>
              </w:rPr>
              <w:t>$3.385B</w:t>
            </w:r>
          </w:p>
        </w:tc>
        <w:tc>
          <w:tcPr>
            <w:tcW w:type="dxa" w:w="1080"/>
          </w:tcPr>
          <w:p>
            <w:r>
              <w:rPr>
                <w:rFonts w:ascii="Calibri" w:hAnsi="Calibri"/>
                <w:sz w:val="22"/>
              </w:rPr>
              <w:t>$3.385B</w:t>
            </w:r>
          </w:p>
        </w:tc>
        <w:tc>
          <w:tcPr>
            <w:tcW w:type="dxa" w:w="1080"/>
          </w:tcPr>
          <w:p>
            <w:r>
              <w:rPr>
                <w:rFonts w:ascii="Calibri" w:hAnsi="Calibri"/>
                <w:sz w:val="22"/>
              </w:rPr>
              <w:t>0.0%</w:t>
            </w:r>
          </w:p>
        </w:tc>
        <w:tc>
          <w:tcPr>
            <w:tcW w:type="dxa" w:w="1080"/>
          </w:tcPr>
          <w:p>
            <w:r>
              <w:rPr>
                <w:rFonts w:ascii="Calibri" w:hAnsi="Calibri"/>
                <w:sz w:val="22"/>
              </w:rPr>
              <w:t>Pro forma +4.9%–5.5%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midpoint</w:t>
            </w:r>
          </w:p>
        </w:tc>
      </w:tr>
      <w:tr>
        <w:tc>
          <w:tcPr>
            <w:tcW w:type="dxa" w:w="1080"/>
          </w:tcPr>
          <w:p>
            <w:r>
              <w:rPr>
                <w:rFonts w:ascii="Calibri" w:hAnsi="Calibri"/>
                <w:sz w:val="22"/>
              </w:rPr>
              <w:t>Adj. EPS - Operating (Q2 2026)</w:t>
            </w:r>
          </w:p>
        </w:tc>
        <w:tc>
          <w:tcPr>
            <w:tcW w:type="dxa" w:w="1080"/>
          </w:tcPr>
          <w:p>
            <w:r>
              <w:rPr>
                <w:rFonts w:ascii="Calibri" w:hAnsi="Calibri"/>
                <w:sz w:val="22"/>
              </w:rPr>
              <w:t>$1.470</w:t>
            </w:r>
          </w:p>
        </w:tc>
        <w:tc>
          <w:tcPr>
            <w:tcW w:type="dxa" w:w="1080"/>
          </w:tcPr>
          <w:p>
            <w:r>
              <w:rPr>
                <w:rFonts w:ascii="Calibri" w:hAnsi="Calibri"/>
                <w:sz w:val="22"/>
              </w:rPr>
              <w:t>$1.470</w:t>
            </w:r>
          </w:p>
        </w:tc>
        <w:tc>
          <w:tcPr>
            <w:tcW w:type="dxa" w:w="1080"/>
          </w:tcPr>
          <w:p>
            <w:r>
              <w:rPr>
                <w:rFonts w:ascii="Calibri" w:hAnsi="Calibri"/>
                <w:sz w:val="22"/>
              </w:rPr>
              <w:t>0.0%</w:t>
            </w:r>
          </w:p>
        </w:tc>
        <w:tc>
          <w:tcPr>
            <w:tcW w:type="dxa" w:w="1080"/>
          </w:tcPr>
          <w:p>
            <w:r>
              <w:rPr>
                <w:rFonts w:ascii="Calibri" w:hAnsi="Calibri"/>
                <w:sz w:val="22"/>
              </w:rPr>
              <w:t>$1.45–$1.49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 ($1.47)</w:t>
            </w:r>
          </w:p>
        </w:tc>
      </w:tr>
      <w:tr>
        <w:tc>
          <w:tcPr>
            <w:tcW w:type="dxa" w:w="1080"/>
          </w:tcPr>
          <w:p>
            <w:r>
              <w:rPr>
                <w:rFonts w:ascii="Calibri" w:hAnsi="Calibri"/>
                <w:sz w:val="22"/>
              </w:rPr>
              <w:t>Banking Organic Growth % (Q2 2026)</w:t>
            </w:r>
          </w:p>
        </w:tc>
        <w:tc>
          <w:tcPr>
            <w:tcW w:type="dxa" w:w="1080"/>
          </w:tcPr>
          <w:p>
            <w:r>
              <w:rPr>
                <w:rFonts w:ascii="Calibri" w:hAnsi="Calibri"/>
                <w:sz w:val="22"/>
              </w:rPr>
              <w:t>5.23%</w:t>
            </w:r>
          </w:p>
        </w:tc>
        <w:tc>
          <w:tcPr>
            <w:tcW w:type="dxa" w:w="1080"/>
          </w:tcPr>
          <w:p>
            <w:r>
              <w:rPr>
                <w:rFonts w:ascii="Calibri" w:hAnsi="Calibri"/>
                <w:sz w:val="22"/>
              </w:rPr>
              <w:t>5.12%</w:t>
            </w:r>
          </w:p>
        </w:tc>
        <w:tc>
          <w:tcPr>
            <w:tcW w:type="dxa" w:w="1080"/>
          </w:tcPr>
          <w:p>
            <w:r>
              <w:rPr>
                <w:rFonts w:ascii="Calibri" w:hAnsi="Calibri"/>
                <w:sz w:val="22"/>
              </w:rPr>
              <w:t>-0.2%</w:t>
            </w:r>
          </w:p>
        </w:tc>
        <w:tc>
          <w:tcPr>
            <w:tcW w:type="dxa" w:w="1080"/>
          </w:tcPr>
          <w:p>
            <w:r>
              <w:rPr>
                <w:rFonts w:ascii="Calibri" w:hAnsi="Calibri"/>
                <w:sz w:val="22"/>
              </w:rPr>
              <w:t>+5.5% to +6.0%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 (5.75%)</w:t>
            </w:r>
          </w:p>
        </w:tc>
      </w:tr>
      <w:tr>
        <w:tc>
          <w:tcPr>
            <w:tcW w:type="dxa" w:w="1080"/>
          </w:tcPr>
          <w:p>
            <w:r>
              <w:rPr>
                <w:rFonts w:ascii="Calibri" w:hAnsi="Calibri"/>
                <w:sz w:val="22"/>
              </w:rPr>
              <w:t>Cap Mkts Organic Growth % (Q2 2026)</w:t>
            </w:r>
          </w:p>
        </w:tc>
        <w:tc>
          <w:tcPr>
            <w:tcW w:type="dxa" w:w="1080"/>
          </w:tcPr>
          <w:p>
            <w:r>
              <w:rPr>
                <w:rFonts w:ascii="Calibri" w:hAnsi="Calibri"/>
                <w:sz w:val="22"/>
              </w:rPr>
              <w:t>2.71%</w:t>
            </w:r>
          </w:p>
        </w:tc>
        <w:tc>
          <w:tcPr>
            <w:tcW w:type="dxa" w:w="1080"/>
          </w:tcPr>
          <w:p>
            <w:r>
              <w:rPr>
                <w:rFonts w:ascii="Calibri" w:hAnsi="Calibri"/>
                <w:sz w:val="22"/>
              </w:rPr>
              <w:t>3.41%</w:t>
            </w:r>
          </w:p>
        </w:tc>
        <w:tc>
          <w:tcPr>
            <w:tcW w:type="dxa" w:w="1080"/>
          </w:tcPr>
          <w:p>
            <w:r>
              <w:rPr>
                <w:rFonts w:ascii="Calibri" w:hAnsi="Calibri"/>
                <w:b/>
                <w:color w:val="002FA7"/>
                <w:sz w:val="22"/>
              </w:rPr>
              <w:t>+25.8%</w:t>
            </w:r>
          </w:p>
        </w:tc>
        <w:tc>
          <w:tcPr>
            <w:tcW w:type="dxa" w:w="1080"/>
          </w:tcPr>
          <w:p>
            <w:r>
              <w:rPr>
                <w:rFonts w:ascii="Calibri" w:hAnsi="Calibri"/>
                <w:sz w:val="22"/>
              </w:rPr>
              <w:t>+3.0% to +4.0%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 (3.5%)</w:t>
            </w:r>
          </w:p>
        </w:tc>
      </w:tr>
      <w:tr>
        <w:tc>
          <w:tcPr>
            <w:tcW w:type="dxa" w:w="1080"/>
          </w:tcPr>
          <w:p>
            <w:r>
              <w:rPr>
                <w:rFonts w:ascii="Calibri" w:hAnsi="Calibri"/>
                <w:sz w:val="22"/>
              </w:rPr>
              <w:t>Revenue - Operating (FY 2026)</w:t>
            </w:r>
          </w:p>
        </w:tc>
        <w:tc>
          <w:tcPr>
            <w:tcW w:type="dxa" w:w="1080"/>
          </w:tcPr>
          <w:p>
            <w:r>
              <w:rPr>
                <w:rFonts w:ascii="Calibri" w:hAnsi="Calibri"/>
                <w:sz w:val="22"/>
              </w:rPr>
              <w:t>$13.810B</w:t>
            </w:r>
          </w:p>
        </w:tc>
        <w:tc>
          <w:tcPr>
            <w:tcW w:type="dxa" w:w="1080"/>
          </w:tcPr>
          <w:p>
            <w:r>
              <w:rPr>
                <w:rFonts w:ascii="Calibri" w:hAnsi="Calibri"/>
                <w:sz w:val="22"/>
              </w:rPr>
              <w:t>$13.807B</w:t>
            </w:r>
          </w:p>
        </w:tc>
        <w:tc>
          <w:tcPr>
            <w:tcW w:type="dxa" w:w="1080"/>
          </w:tcPr>
          <w:p>
            <w:r>
              <w:rPr>
                <w:rFonts w:ascii="Calibri" w:hAnsi="Calibri"/>
                <w:sz w:val="22"/>
              </w:rPr>
              <w:t>0.0%</w:t>
            </w:r>
          </w:p>
        </w:tc>
        <w:tc>
          <w:tcPr>
            <w:tcW w:type="dxa" w:w="1080"/>
          </w:tcPr>
          <w:p>
            <w:r>
              <w:rPr>
                <w:rFonts w:ascii="Calibri" w:hAnsi="Calibri"/>
                <w:sz w:val="22"/>
              </w:rPr>
              <w:t>Pro forma +5.1%–5.7%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midpoint</w:t>
            </w:r>
          </w:p>
        </w:tc>
      </w:tr>
      <w:tr>
        <w:tc>
          <w:tcPr>
            <w:tcW w:type="dxa" w:w="1080"/>
          </w:tcPr>
          <w:p>
            <w:r>
              <w:rPr>
                <w:rFonts w:ascii="Calibri" w:hAnsi="Calibri"/>
                <w:sz w:val="22"/>
              </w:rPr>
              <w:t>Adj. EPS - Operating (FY 2026)</w:t>
            </w:r>
          </w:p>
        </w:tc>
        <w:tc>
          <w:tcPr>
            <w:tcW w:type="dxa" w:w="1080"/>
          </w:tcPr>
          <w:p>
            <w:r>
              <w:rPr>
                <w:rFonts w:ascii="Calibri" w:hAnsi="Calibri"/>
                <w:sz w:val="22"/>
              </w:rPr>
              <w:t>$6.288</w:t>
            </w:r>
          </w:p>
        </w:tc>
        <w:tc>
          <w:tcPr>
            <w:tcW w:type="dxa" w:w="1080"/>
          </w:tcPr>
          <w:p>
            <w:r>
              <w:rPr>
                <w:rFonts w:ascii="Calibri" w:hAnsi="Calibri"/>
                <w:sz w:val="22"/>
              </w:rPr>
              <w:t>$6.300</w:t>
            </w:r>
          </w:p>
        </w:tc>
        <w:tc>
          <w:tcPr>
            <w:tcW w:type="dxa" w:w="1080"/>
          </w:tcPr>
          <w:p>
            <w:r>
              <w:rPr>
                <w:rFonts w:ascii="Calibri" w:hAnsi="Calibri"/>
                <w:sz w:val="22"/>
              </w:rPr>
              <w:t>+0.2%</w:t>
            </w:r>
          </w:p>
        </w:tc>
        <w:tc>
          <w:tcPr>
            <w:tcW w:type="dxa" w:w="1080"/>
          </w:tcPr>
          <w:p>
            <w:r>
              <w:rPr>
                <w:rFonts w:ascii="Calibri" w:hAnsi="Calibri"/>
                <w:sz w:val="22"/>
              </w:rPr>
              <w:t>$6.22–$6.32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 ($6.27)</w:t>
            </w:r>
          </w:p>
        </w:tc>
      </w:tr>
      <w:tr>
        <w:tc>
          <w:tcPr>
            <w:tcW w:type="dxa" w:w="1080"/>
          </w:tcPr>
          <w:p>
            <w:r>
              <w:rPr>
                <w:rFonts w:ascii="Calibri" w:hAnsi="Calibri"/>
                <w:sz w:val="22"/>
              </w:rPr>
              <w:t>Free Cash Flow (FY 2026)</w:t>
            </w:r>
          </w:p>
        </w:tc>
        <w:tc>
          <w:tcPr>
            <w:tcW w:type="dxa" w:w="1080"/>
          </w:tcPr>
          <w:p>
            <w:r>
              <w:rPr>
                <w:rFonts w:ascii="Calibri" w:hAnsi="Calibri"/>
                <w:sz w:val="22"/>
              </w:rPr>
              <w:t>$2.790B</w:t>
            </w:r>
          </w:p>
        </w:tc>
        <w:tc>
          <w:tcPr>
            <w:tcW w:type="dxa" w:w="1080"/>
          </w:tcPr>
          <w:p>
            <w:r>
              <w:rPr>
                <w:rFonts w:ascii="Calibri" w:hAnsi="Calibri"/>
                <w:sz w:val="22"/>
              </w:rPr>
              <w:t>$2.809B</w:t>
            </w:r>
          </w:p>
        </w:tc>
        <w:tc>
          <w:tcPr>
            <w:tcW w:type="dxa" w:w="1080"/>
          </w:tcPr>
          <w:p>
            <w:r>
              <w:rPr>
                <w:rFonts w:ascii="Calibri" w:hAnsi="Calibri"/>
                <w:sz w:val="22"/>
              </w:rPr>
              <w:t>+0.7%</w:t>
            </w:r>
          </w:p>
        </w:tc>
        <w:tc>
          <w:tcPr>
            <w:tcW w:type="dxa" w:w="1080"/>
          </w:tcPr>
          <w:p>
            <w:r>
              <w:rPr>
                <w:rFonts w:ascii="Calibri" w:hAnsi="Calibri"/>
                <w:sz w:val="22"/>
              </w:rPr>
              <w:t>$2.1B (company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well above company target; tracking ahead</w:t>
            </w:r>
          </w:p>
        </w:tc>
      </w:tr>
    </w:tbl>
    <w:p>
      <w:r>
        <w:rPr>
          <w:rFonts w:ascii="Calibri" w:hAnsi="Calibri"/>
          <w:b/>
          <w:color w:val="525866"/>
          <w:sz w:val="22"/>
        </w:rPr>
        <w:t xml:space="preserve">Note: </w:t>
      </w:r>
      <w:r>
        <w:rPr>
          <w:rFonts w:ascii="Calibri" w:hAnsi="Calibri"/>
          <w:color w:val="525866"/>
          <w:sz w:val="22"/>
        </w:rPr>
        <w:t>The capital markets organic growth estimate revision (+25.8% from baseline to current) reflects the street partially revising up from the initial post-Q1 baseline, though consensus still sits near the midpoint of guidance. The free cash flow consensus of $2.809B is materially above the company's conservative $2.1B target, consistent with management's commentary that Q1 already delivered 23% of the full-year guide.</w:t>
      </w:r>
    </w:p>
    <w:p>
      <w:r>
        <w:rPr>
          <w:rFonts w:ascii="Calibri" w:hAnsi="Calibri"/>
          <w:i/>
          <w:color w:val="525866"/>
          <w:sz w:val="22"/>
        </w:rPr>
        <w:t>Source: Visible Alpha Consensus and Actuals Data (as-of date: May 13, 2026 for baseline; current as of August 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FIS has </w:t>
      </w:r>
      <w:r>
        <w:rPr>
          <w:rFonts w:ascii="Calibri" w:hAnsi="Calibri"/>
          <w:b/>
          <w:color w:val="525866"/>
          <w:sz w:val="22"/>
        </w:rPr>
        <w:t>underperformed both the software sector (IGV) and the S&amp;P 500</w:t>
      </w:r>
      <w:r>
        <w:rPr>
          <w:rFonts w:ascii="Calibri" w:hAnsi="Calibri"/>
          <w:color w:val="525866"/>
          <w:sz w:val="22"/>
        </w:rPr>
        <w:t xml:space="preserve"> since the Q1 2026 earnings print, with the stock up only +3.0% vs. IGV +6.9% and SPY +2.7% since May 8. The underperformance is driven by </w:t>
      </w:r>
      <w:r>
        <w:rPr>
          <w:rFonts w:ascii="Calibri" w:hAnsi="Calibri"/>
          <w:b/>
          <w:color w:val="525866"/>
          <w:sz w:val="22"/>
        </w:rPr>
        <w:t>multiple compression</w:t>
      </w:r>
      <w:r>
        <w:rPr>
          <w:rFonts w:ascii="Calibri" w:hAnsi="Calibri"/>
          <w:color w:val="525866"/>
          <w:sz w:val="22"/>
        </w:rPr>
        <w:t xml:space="preserve"> rather than estimate cuts — revisions have been flat — suggesting lingering investor skepticism around the capital markets lending headwind and Pismo/Visa competitive concerns, not fundamental deterioration.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FIS vs. IGV (iShares Expanded Tech-Software ETF) vs. S&amp;P 500 (SPY) — Indexed to 100 at Q1 2026 Earnings (May 8, 2026). Source: Yahoo Finance.</w:t>
      </w:r>
    </w:p>
    <w:p>
      <w:r>
        <w:rPr>
          <w:rFonts w:ascii="Calibri" w:hAnsi="Calibri"/>
          <w:b/>
          <w:color w:val="525866"/>
          <w:sz w:val="22"/>
        </w:rPr>
        <w:t>Key observations:</w:t>
      </w:r>
    </w:p>
    <w:p>
      <w:pPr>
        <w:pStyle w:val="ListBullet"/>
        <w:ind w:left="360" w:hanging="360"/>
      </w:pPr>
      <w:r>
        <w:rPr>
          <w:rFonts w:ascii="Calibri" w:hAnsi="Calibri"/>
          <w:color w:val="525866"/>
          <w:sz w:val="22"/>
        </w:rPr>
        <w:t>FIS closed at $43.49 on May 8 (earnings day, down ~8% on the day from $47.25 pre-earnings close), reflecting the market's negative reaction to Q2 guidance coming in with the midpoint slightly below consensus expectations.</w:t>
      </w:r>
    </w:p>
    <w:p>
      <w:pPr>
        <w:pStyle w:val="ListBullet"/>
        <w:ind w:left="360" w:hanging="360"/>
      </w:pPr>
      <w:r>
        <w:rPr>
          <w:rFonts w:ascii="Calibri" w:hAnsi="Calibri"/>
          <w:color w:val="525866"/>
          <w:sz w:val="22"/>
        </w:rPr>
        <w:t>The stock drifted lower through mid-June, reaching a trough near $37.72 on June 22, as macro concerns and capital markets lending softness weighed on sentiment.</w:t>
      </w:r>
    </w:p>
    <w:p>
      <w:pPr>
        <w:pStyle w:val="ListBullet"/>
        <w:ind w:left="360" w:hanging="360"/>
      </w:pPr>
      <w:r>
        <w:rPr>
          <w:rFonts w:ascii="Calibri" w:hAnsi="Calibri"/>
          <w:color w:val="525866"/>
          <w:sz w:val="22"/>
        </w:rPr>
        <w:t>A recovery began in late June/early July, with FIS rebounding to the $44–$47 range by late July, likely driven by improving macro sentiment and anticipation of Q2 results.</w:t>
      </w:r>
    </w:p>
    <w:p>
      <w:pPr>
        <w:pStyle w:val="ListBullet"/>
        <w:ind w:left="360" w:hanging="360"/>
      </w:pPr>
      <w:r>
        <w:rPr>
          <w:rFonts w:ascii="Calibri" w:hAnsi="Calibri"/>
          <w:color w:val="525866"/>
          <w:sz w:val="22"/>
        </w:rPr>
        <w:t>IGV (software ETF) significantly outperformed FIS over the period (+6.9% vs. +3.0%), reflecting the broader AI-driven software re-rating that FIS has not fully participated in despite its Anthropic partnership announcement.</w:t>
      </w:r>
    </w:p>
    <w:p>
      <w:pPr>
        <w:pStyle w:val="ListBullet"/>
        <w:ind w:left="360" w:hanging="360"/>
      </w:pPr>
      <w:r>
        <w:rPr>
          <w:rFonts w:ascii="Calibri" w:hAnsi="Calibri"/>
          <w:color w:val="525866"/>
          <w:sz w:val="22"/>
        </w:rPr>
        <w:t>The sector ETF used is IGV (iShares Expanded Tech-Software ETF), which is appropriate for FIS's financial technology software sub-sector.</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FIS's Q2 setup</w:t>
      </w:r>
      <w:r>
        <w:rPr>
          <w:rFonts w:ascii="Calibri" w:hAnsi="Calibri"/>
          <w:color w:val="525866"/>
          <w:sz w:val="22"/>
        </w:rPr>
        <w:t>: banking technology spending surveys show accelerating demand (6%–10% anticipated growth), core banking RFP activity is at multi-year highs, and AI adoption is emerging as a new top priority for bank CEOs — all tailwinds for FIS's banking segment. Fiserv's (FI) Q2 commentary is the most direct read-through, confirming a challenging first half but with strong underlying volume trends.</w:t>
      </w:r>
    </w:p>
    <w:p>
      <w:pPr>
        <w:pStyle w:val="Heading3"/>
      </w:pPr>
      <w:r>
        <w:rPr>
          <w:rFonts w:ascii="Calibri" w:hAnsi="Calibri"/>
          <w:b/>
          <w:color w:val="3B4259"/>
          <w:sz w:val="24"/>
        </w:rPr>
        <w:t>Jack Henry &amp; Associates (JKHY) — Multiple Conferences (June 3–10, 2026)</w:t>
      </w:r>
    </w:p>
    <w:p>
      <w:r>
        <w:rPr>
          <w:rFonts w:ascii="Calibri" w:hAnsi="Calibri"/>
          <w:i/>
          <w:color w:val="525866"/>
          <w:sz w:val="22"/>
        </w:rPr>
        <w:t>Relevance: JKHY is a direct competitor in core banking technology for community and regional banks. Its commentary on banking technology demand, AI adoption, and competitive dynamics is a strong read-through for FIS's banking segment.</w:t>
      </w:r>
    </w:p>
    <w:p>
      <w:pPr>
        <w:pStyle w:val="ListBullet"/>
        <w:ind w:left="360" w:hanging="360"/>
      </w:pPr>
      <w:r>
        <w:rPr>
          <w:rFonts w:ascii="Calibri" w:hAnsi="Calibri"/>
          <w:b/>
          <w:color w:val="525866"/>
          <w:sz w:val="22"/>
        </w:rPr>
        <w:t xml:space="preserve">Banking technology spend accelerating: </w:t>
      </w:r>
      <w:r>
        <w:rPr>
          <w:rFonts w:ascii="Calibri" w:hAnsi="Calibri"/>
          <w:color w:val="525866"/>
          <w:sz w:val="22"/>
        </w:rPr>
        <w:t xml:space="preserve">JKHY surveys across 193 bank/credit union CEOs show 88%+ plan to increase IT spend, with 6%–10% anticipated growth — up from 3%–5% a couple of years ago. Management noted this is "consistent across multiple third-party surveys." </w:t>
      </w:r>
      <w:r>
        <w:rPr>
          <w:rFonts w:ascii="Calibri" w:hAnsi="Calibri"/>
          <w:b/>
          <w:color w:val="525866"/>
          <w:sz w:val="22"/>
        </w:rPr>
        <w:t xml:space="preserve">Read-through: </w:t>
      </w:r>
      <w:r>
        <w:rPr>
          <w:rFonts w:ascii="Calibri" w:hAnsi="Calibri"/>
          <w:color w:val="525866"/>
          <w:sz w:val="22"/>
        </w:rPr>
        <w:t>Directly supports FIS's banking segment tracking toward the upper end of its 5%–5.5% FY revenue guide.</w:t>
      </w:r>
    </w:p>
    <w:p>
      <w:pPr>
        <w:pStyle w:val="ListBullet"/>
        <w:ind w:left="360" w:hanging="360"/>
      </w:pPr>
      <w:r>
        <w:rPr>
          <w:rFonts w:ascii="Calibri" w:hAnsi="Calibri"/>
          <w:b/>
          <w:color w:val="525866"/>
          <w:sz w:val="22"/>
        </w:rPr>
        <w:t xml:space="preserve">Core banking RFP activity at multi-year highs: </w:t>
      </w:r>
      <w:r>
        <w:rPr>
          <w:rFonts w:ascii="Calibri" w:hAnsi="Calibri"/>
          <w:color w:val="525866"/>
          <w:sz w:val="22"/>
        </w:rPr>
        <w:t xml:space="preserve">JKHY reported ~225–250 RFPs in 2026 vs. the typical ~200, driven by a competitor (FIS/Fiserv) walking back core consolidation plans. JKHY has already closed 43 new core deals YTD vs. 28 in the prior year, including its largest-ever win ($9.2B institution). </w:t>
      </w:r>
      <w:r>
        <w:rPr>
          <w:rFonts w:ascii="Calibri" w:hAnsi="Calibri"/>
          <w:b/>
          <w:color w:val="525866"/>
          <w:sz w:val="22"/>
        </w:rPr>
        <w:t xml:space="preserve">Read-through: </w:t>
      </w:r>
      <w:r>
        <w:rPr>
          <w:rFonts w:ascii="Calibri" w:hAnsi="Calibri"/>
          <w:color w:val="525866"/>
          <w:sz w:val="22"/>
        </w:rPr>
        <w:t>Elevated RFP activity is a double-edged sword for FIS — it signals strong market demand but also competitive pressure from JKHY winning larger deals.</w:t>
      </w:r>
    </w:p>
    <w:p>
      <w:pPr>
        <w:pStyle w:val="ListBullet"/>
        <w:ind w:left="360" w:hanging="360"/>
      </w:pPr>
      <w:r>
        <w:rPr>
          <w:rFonts w:ascii="Calibri" w:hAnsi="Calibri"/>
          <w:b/>
          <w:color w:val="525866"/>
          <w:sz w:val="22"/>
        </w:rPr>
        <w:t xml:space="preserve">AI as a top bank CEO priority for the first time: </w:t>
      </w:r>
      <w:r>
        <w:rPr>
          <w:rFonts w:ascii="Calibri" w:hAnsi="Calibri"/>
          <w:color w:val="525866"/>
          <w:sz w:val="22"/>
        </w:rPr>
        <w:t xml:space="preserve">JKHY noted that AI entered the top-5 priority list for bank CEOs for the first time in 2026, alongside deposit growth, lending, and efficiency. JKHY has 14 AI proof-of-concepts launching in calendar 2026 and is seeing 70%–90% development productivity improvements. </w:t>
      </w:r>
      <w:r>
        <w:rPr>
          <w:rFonts w:ascii="Calibri" w:hAnsi="Calibri"/>
          <w:b/>
          <w:color w:val="525866"/>
          <w:sz w:val="22"/>
        </w:rPr>
        <w:t xml:space="preserve">Read-through: </w:t>
      </w:r>
      <w:r>
        <w:rPr>
          <w:rFonts w:ascii="Calibri" w:hAnsi="Calibri"/>
          <w:color w:val="525866"/>
          <w:sz w:val="22"/>
        </w:rPr>
        <w:t>Validates FIS's Anthropic partnership and AI agent strategy as well-timed; bank demand for AI solutions is real and accelerating.</w:t>
      </w:r>
    </w:p>
    <w:p>
      <w:pPr>
        <w:pStyle w:val="ListBullet"/>
        <w:ind w:left="360" w:hanging="360"/>
      </w:pPr>
      <w:r>
        <w:rPr>
          <w:rFonts w:ascii="Calibri" w:hAnsi="Calibri"/>
          <w:b/>
          <w:color w:val="525866"/>
          <w:sz w:val="22"/>
        </w:rPr>
        <w:t xml:space="preserve">Pismo not seen in core banking deals: </w:t>
      </w:r>
      <w:r>
        <w:rPr>
          <w:rFonts w:ascii="Calibri" w:hAnsi="Calibri"/>
          <w:color w:val="525866"/>
          <w:sz w:val="22"/>
        </w:rPr>
        <w:t xml:space="preserve">JKHY stated at the Morgan Stanley conference: "We have not seen Pismo in a single deal that we have done." Pismo is seen in card processing but lacks full lending capabilities and is not a full end-to-end core. </w:t>
      </w:r>
      <w:r>
        <w:rPr>
          <w:rFonts w:ascii="Calibri" w:hAnsi="Calibri"/>
          <w:b/>
          <w:color w:val="525866"/>
          <w:sz w:val="22"/>
        </w:rPr>
        <w:t xml:space="preserve">Read-through: </w:t>
      </w:r>
      <w:r>
        <w:rPr>
          <w:rFonts w:ascii="Calibri" w:hAnsi="Calibri"/>
          <w:color w:val="525866"/>
          <w:sz w:val="22"/>
        </w:rPr>
        <w:t>Supports FIS management's view that Pismo's competitive threat in core banking is limited; the market concern may be overstated.</w:t>
      </w:r>
    </w:p>
    <w:p>
      <w:pPr>
        <w:pStyle w:val="ListBullet"/>
        <w:ind w:left="360" w:hanging="360"/>
      </w:pPr>
      <w:r>
        <w:rPr>
          <w:rFonts w:ascii="Calibri" w:hAnsi="Calibri"/>
          <w:b/>
          <w:color w:val="525866"/>
          <w:sz w:val="22"/>
        </w:rPr>
        <w:t xml:space="preserve">Trifecta wins (core + digital + card) accelerating: </w:t>
      </w:r>
      <w:r>
        <w:rPr>
          <w:rFonts w:ascii="Calibri" w:hAnsi="Calibri"/>
          <w:color w:val="525866"/>
          <w:sz w:val="22"/>
        </w:rPr>
        <w:t xml:space="preserve">60% of JKHY's core wins in 2026 included both digital and card (vs. 29% last year), adding ~60% more total contract value per deal. </w:t>
      </w:r>
      <w:r>
        <w:rPr>
          <w:rFonts w:ascii="Calibri" w:hAnsi="Calibri"/>
          <w:b/>
          <w:color w:val="525866"/>
          <w:sz w:val="22"/>
        </w:rPr>
        <w:t xml:space="preserve">Read-through: </w:t>
      </w:r>
      <w:r>
        <w:rPr>
          <w:rFonts w:ascii="Calibri" w:hAnsi="Calibri"/>
          <w:color w:val="525866"/>
          <w:sz w:val="22"/>
        </w:rPr>
        <w:t>Mirrors FIS's strategy of cross-selling Total Issuer Solutions (credit) alongside core banking; bundled wins are becoming the industry norm.</w:t>
      </w:r>
    </w:p>
    <w:p>
      <w:pPr>
        <w:pStyle w:val="ListBullet"/>
        <w:ind w:left="360" w:hanging="360"/>
      </w:pPr>
      <w:r>
        <w:rPr>
          <w:rFonts w:ascii="Calibri" w:hAnsi="Calibri"/>
          <w:b/>
          <w:color w:val="525866"/>
          <w:sz w:val="22"/>
        </w:rPr>
        <w:t xml:space="preserve">Tokenization and stablecoin demand real but early: </w:t>
      </w:r>
      <w:r>
        <w:rPr>
          <w:rFonts w:ascii="Calibri" w:hAnsi="Calibri"/>
          <w:color w:val="525866"/>
          <w:sz w:val="22"/>
        </w:rPr>
        <w:t xml:space="preserve">JKHY built a stablecoin proof-of-concept in 2 weeks and has 3 customers ready to go live pending regulatory approval; tokenization expected to be in market by end of 2026 or early 2027. </w:t>
      </w:r>
      <w:r>
        <w:rPr>
          <w:rFonts w:ascii="Calibri" w:hAnsi="Calibri"/>
          <w:b/>
          <w:color w:val="525866"/>
          <w:sz w:val="22"/>
        </w:rPr>
        <w:t xml:space="preserve">Read-through: </w:t>
      </w:r>
      <w:r>
        <w:rPr>
          <w:rFonts w:ascii="Calibri" w:hAnsi="Calibri"/>
          <w:color w:val="525866"/>
          <w:sz w:val="22"/>
        </w:rPr>
        <w:t>Validates FIS's Project Keystone tokenized deposit network as strategically well-positioned; regulatory approval is the gating factor for the whole industry.</w:t>
      </w:r>
    </w:p>
    <w:p>
      <w:pPr>
        <w:pStyle w:val="Heading3"/>
      </w:pPr>
      <w:r>
        <w:rPr>
          <w:rFonts w:ascii="Calibri" w:hAnsi="Calibri"/>
          <w:b/>
          <w:color w:val="3B4259"/>
          <w:sz w:val="24"/>
        </w:rPr>
        <w:t>Fiserv (FI) — Multiple Conferences (May 14–June 2, 2026)</w:t>
      </w:r>
    </w:p>
    <w:p>
      <w:r>
        <w:rPr>
          <w:rFonts w:ascii="Calibri" w:hAnsi="Calibri"/>
          <w:i/>
          <w:color w:val="525866"/>
          <w:sz w:val="22"/>
        </w:rPr>
        <w:t>Relevance: Fiserv is FIS's closest direct competitor across banking technology, payments, and merchant acquiring. FI's Q2 commentary is the most direct read-through for FIS's banking and payments segments.</w:t>
      </w:r>
    </w:p>
    <w:p>
      <w:pPr>
        <w:pStyle w:val="ListBullet"/>
        <w:ind w:left="360" w:hanging="360"/>
      </w:pPr>
      <w:r>
        <w:rPr>
          <w:rFonts w:ascii="Calibri" w:hAnsi="Calibri"/>
          <w:b/>
          <w:color w:val="525866"/>
          <w:sz w:val="22"/>
        </w:rPr>
        <w:t xml:space="preserve">Q2 2026 is a challenging first half for FI: </w:t>
      </w:r>
      <w:r>
        <w:rPr>
          <w:rFonts w:ascii="Calibri" w:hAnsi="Calibri"/>
          <w:color w:val="525866"/>
          <w:sz w:val="22"/>
        </w:rPr>
        <w:t xml:space="preserve">Fiserv explicitly guided Q2 2026 to be "a little bit worse" than Q1 (which was down ~2%), implying first-half adjusted revenue down low single digits. This is driven by tough comps from nonrecurring revenue in H1 2025, not underlying volume weakness. </w:t>
      </w:r>
      <w:r>
        <w:rPr>
          <w:rFonts w:ascii="Calibri" w:hAnsi="Calibri"/>
          <w:b/>
          <w:color w:val="525866"/>
          <w:sz w:val="22"/>
        </w:rPr>
        <w:t xml:space="preserve">Read-through: </w:t>
      </w:r>
      <w:r>
        <w:rPr>
          <w:rFonts w:ascii="Calibri" w:hAnsi="Calibri"/>
          <w:color w:val="525866"/>
          <w:sz w:val="22"/>
        </w:rPr>
        <w:t>FI's H1 headwind is specific to its merchant/gateway business and nonrecurring comps — not directly applicable to FIS's banking-focused model, but confirms the macro environment is not uniformly strong.</w:t>
      </w:r>
    </w:p>
    <w:p>
      <w:pPr>
        <w:pStyle w:val="ListBullet"/>
        <w:ind w:left="360" w:hanging="360"/>
      </w:pPr>
      <w:r>
        <w:rPr>
          <w:rFonts w:ascii="Calibri" w:hAnsi="Calibri"/>
          <w:b/>
          <w:color w:val="525866"/>
          <w:sz w:val="22"/>
        </w:rPr>
        <w:t xml:space="preserve">Banking technology demand described as "as good as it's been in a really long time": </w:t>
      </w:r>
      <w:r>
        <w:rPr>
          <w:rFonts w:ascii="Calibri" w:hAnsi="Calibri"/>
          <w:color w:val="525866"/>
          <w:sz w:val="22"/>
        </w:rPr>
        <w:t xml:space="preserve">FI CEO Michael Lyons stated at the JPMorgan conference that "banks are in very good shape, credit is good, they're all very focused on building their technology capabilities." The backdrop for providing value-added services to banks is described as the best in a long time. </w:t>
      </w:r>
      <w:r>
        <w:rPr>
          <w:rFonts w:ascii="Calibri" w:hAnsi="Calibri"/>
          <w:b/>
          <w:color w:val="525866"/>
          <w:sz w:val="22"/>
        </w:rPr>
        <w:t xml:space="preserve">Read-through: </w:t>
      </w:r>
      <w:r>
        <w:rPr>
          <w:rFonts w:ascii="Calibri" w:hAnsi="Calibri"/>
          <w:color w:val="525866"/>
          <w:sz w:val="22"/>
        </w:rPr>
        <w:t>Directly supports FIS's banking segment momentum and management's commentary about generational banking technology spending.</w:t>
      </w:r>
    </w:p>
    <w:p>
      <w:pPr>
        <w:pStyle w:val="ListBullet"/>
        <w:ind w:left="360" w:hanging="360"/>
      </w:pPr>
      <w:r>
        <w:rPr>
          <w:rFonts w:ascii="Calibri" w:hAnsi="Calibri"/>
          <w:b/>
          <w:color w:val="525866"/>
          <w:sz w:val="22"/>
        </w:rPr>
        <w:t xml:space="preserve">Clover (SMB merchant) April data consistent with Q1 at +12% ex-gateway: </w:t>
      </w:r>
      <w:r>
        <w:rPr>
          <w:rFonts w:ascii="Calibri" w:hAnsi="Calibri"/>
          <w:color w:val="525866"/>
          <w:sz w:val="22"/>
        </w:rPr>
        <w:t xml:space="preserve">FI's Clover data for April 2026 remained consistent with Q1 at 12% growth excluding the gateway conversion, described as "a really strong constructive quarter." Consumer spending described as "cautiously optimistic" with migration toward fuel and away from some discretionary categories. </w:t>
      </w:r>
      <w:r>
        <w:rPr>
          <w:rFonts w:ascii="Calibri" w:hAnsi="Calibri"/>
          <w:b/>
          <w:color w:val="525866"/>
          <w:sz w:val="22"/>
        </w:rPr>
        <w:t xml:space="preserve">Read-through: </w:t>
      </w:r>
      <w:r>
        <w:rPr>
          <w:rFonts w:ascii="Calibri" w:hAnsi="Calibri"/>
          <w:color w:val="525866"/>
          <w:sz w:val="22"/>
        </w:rPr>
        <w:t>Limited direct read-through for FIS (FIS exited merchant acquiring with Worldpay), but confirms the consumer spending environment is stable-to-cautious, not deteriorating.</w:t>
      </w:r>
    </w:p>
    <w:p>
      <w:pPr>
        <w:pStyle w:val="ListBullet"/>
        <w:ind w:left="360" w:hanging="360"/>
      </w:pPr>
      <w:r>
        <w:rPr>
          <w:rFonts w:ascii="Calibri" w:hAnsi="Calibri"/>
          <w:b/>
          <w:color w:val="525866"/>
          <w:sz w:val="22"/>
        </w:rPr>
        <w:t xml:space="preserve">Pismo impact on FI's issuing business: "haven't seen any meaningful impact": </w:t>
      </w:r>
      <w:r>
        <w:rPr>
          <w:rFonts w:ascii="Calibri" w:hAnsi="Calibri"/>
          <w:color w:val="525866"/>
          <w:sz w:val="22"/>
        </w:rPr>
        <w:t xml:space="preserve">FI management stated at the Baird conference that Pismo's impact on their U.S. issuing business has been minimal, with any impact concentrated in Latin America. </w:t>
      </w:r>
      <w:r>
        <w:rPr>
          <w:rFonts w:ascii="Calibri" w:hAnsi="Calibri"/>
          <w:b/>
          <w:color w:val="525866"/>
          <w:sz w:val="22"/>
        </w:rPr>
        <w:t xml:space="preserve">Read-through: </w:t>
      </w:r>
      <w:r>
        <w:rPr>
          <w:rFonts w:ascii="Calibri" w:hAnsi="Calibri"/>
          <w:color w:val="525866"/>
          <w:sz w:val="22"/>
        </w:rPr>
        <w:t>Consistent with FIS management's view that Pismo's U.S. competitive threat is overstated; both FIS and FI are holding their issuing market positions.</w:t>
      </w:r>
    </w:p>
    <w:p>
      <w:pPr>
        <w:pStyle w:val="ListBullet"/>
        <w:ind w:left="360" w:hanging="360"/>
      </w:pPr>
      <w:r>
        <w:rPr>
          <w:rFonts w:ascii="Calibri" w:hAnsi="Calibri"/>
          <w:b/>
          <w:color w:val="525866"/>
          <w:sz w:val="22"/>
        </w:rPr>
        <w:t xml:space="preserve">AgentOS (AI operating system for banks) generating strong post-Investor Day demand: </w:t>
      </w:r>
      <w:r>
        <w:rPr>
          <w:rFonts w:ascii="Calibri" w:hAnsi="Calibri"/>
          <w:color w:val="525866"/>
          <w:sz w:val="22"/>
        </w:rPr>
        <w:t xml:space="preserve">FI unveiled AgentOS at its May 14 Investor Day, an operating system for banks to deploy AI agents safely. Management reported being "flooded with calls" from banks and agents since the announcement, with 6 banks co-developing and 9 third-party agent partnerships established. </w:t>
      </w:r>
      <w:r>
        <w:rPr>
          <w:rFonts w:ascii="Calibri" w:hAnsi="Calibri"/>
          <w:b/>
          <w:color w:val="525866"/>
          <w:sz w:val="22"/>
        </w:rPr>
        <w:t xml:space="preserve">Read-through: </w:t>
      </w:r>
      <w:r>
        <w:rPr>
          <w:rFonts w:ascii="Calibri" w:hAnsi="Calibri"/>
          <w:color w:val="525866"/>
          <w:sz w:val="22"/>
        </w:rPr>
        <w:t>Validates the AI agent opportunity in banking that FIS is pursuing with Anthropic; bank demand for AI infrastructure is real and competitive dynamics are intensifying.</w:t>
      </w:r>
    </w:p>
    <w:p>
      <w:pPr>
        <w:pStyle w:val="ListBullet"/>
        <w:ind w:left="360" w:hanging="360"/>
      </w:pPr>
      <w:r>
        <w:rPr>
          <w:rFonts w:ascii="Calibri" w:hAnsi="Calibri"/>
          <w:b/>
          <w:color w:val="525866"/>
          <w:sz w:val="22"/>
        </w:rPr>
        <w:t xml:space="preserve">Core banking attrition stabilizing but gradual: </w:t>
      </w:r>
      <w:r>
        <w:rPr>
          <w:rFonts w:ascii="Calibri" w:hAnsi="Calibri"/>
          <w:color w:val="525866"/>
          <w:sz w:val="22"/>
        </w:rPr>
        <w:t xml:space="preserve">FI acknowledged core banking attrition roughly doubled (75 bps to 150 bps of FS revenue) due to forced conversion missteps, but is now on a "gradual path from 2026 to 2029 to return to normalized attrition." No forced conversions; modular approach introduced. </w:t>
      </w:r>
      <w:r>
        <w:rPr>
          <w:rFonts w:ascii="Calibri" w:hAnsi="Calibri"/>
          <w:b/>
          <w:color w:val="525866"/>
          <w:sz w:val="22"/>
        </w:rPr>
        <w:t xml:space="preserve">Read-through: </w:t>
      </w:r>
      <w:r>
        <w:rPr>
          <w:rFonts w:ascii="Calibri" w:hAnsi="Calibri"/>
          <w:color w:val="525866"/>
          <w:sz w:val="22"/>
        </w:rPr>
        <w:t>FI's core banking struggles are a competitive opportunity for FIS; JKHY's record RFP activity confirms banks are actively evaluating alternatives.</w:t>
      </w:r>
    </w:p>
    <w:p>
      <w:pPr>
        <w:pStyle w:val="ListBullet"/>
        <w:ind w:left="360" w:hanging="360"/>
      </w:pPr>
      <w:r>
        <w:rPr>
          <w:rFonts w:ascii="Calibri" w:hAnsi="Calibri"/>
          <w:b/>
          <w:color w:val="525866"/>
          <w:sz w:val="22"/>
        </w:rPr>
        <w:t xml:space="preserve">FIUSD stablecoin going live in July 2026: </w:t>
      </w:r>
      <w:r>
        <w:rPr>
          <w:rFonts w:ascii="Calibri" w:hAnsi="Calibri"/>
          <w:color w:val="525866"/>
          <w:sz w:val="22"/>
        </w:rPr>
        <w:t xml:space="preserve">Fiserv's bank-friendly stablecoin (FIUSD, from StoneCastle acquisition) is set to go live in July 2026, with the first use case in North Dakota for bank-to-bank movement. </w:t>
      </w:r>
      <w:r>
        <w:rPr>
          <w:rFonts w:ascii="Calibri" w:hAnsi="Calibri"/>
          <w:b/>
          <w:color w:val="525866"/>
          <w:sz w:val="22"/>
        </w:rPr>
        <w:t xml:space="preserve">Read-through: </w:t>
      </w:r>
      <w:r>
        <w:rPr>
          <w:rFonts w:ascii="Calibri" w:hAnsi="Calibri"/>
          <w:color w:val="525866"/>
          <w:sz w:val="22"/>
        </w:rPr>
        <w:t>FIS's Project Keystone (tokenized deposits) and Lyric digital asset platform are competing in the same space; FI moving first on stablecoin infrastructure could create competitive pressure.</w:t>
      </w:r>
    </w:p>
    <w:p>
      <w:pPr>
        <w:pStyle w:val="Heading3"/>
      </w:pPr>
      <w:r>
        <w:rPr>
          <w:rFonts w:ascii="Calibri" w:hAnsi="Calibri"/>
          <w:b/>
          <w:color w:val="3B4259"/>
          <w:sz w:val="24"/>
        </w:rPr>
        <w:t>Broadridge Financial Solutions (BR) — Multiple Conferences (May 27–June 9, 2026)</w:t>
      </w:r>
    </w:p>
    <w:p>
      <w:r>
        <w:rPr>
          <w:rFonts w:ascii="Calibri" w:hAnsi="Calibri"/>
          <w:i/>
          <w:color w:val="525866"/>
          <w:sz w:val="22"/>
        </w:rPr>
        <w:t>Relevance: Broadridge competes with FIS in capital markets technology (post-trade processing, investor communications, data/analytics). BR's commentary on capital markets activity and technology spending is a read-through for FIS's capital markets segment.</w:t>
      </w:r>
    </w:p>
    <w:p>
      <w:pPr>
        <w:pStyle w:val="ListBullet"/>
        <w:ind w:left="360" w:hanging="360"/>
      </w:pPr>
      <w:r>
        <w:rPr>
          <w:rFonts w:ascii="Calibri" w:hAnsi="Calibri"/>
          <w:b/>
          <w:color w:val="525866"/>
          <w:sz w:val="22"/>
        </w:rPr>
        <w:t xml:space="preserve">Capital markets technology spending environment remains strong: </w:t>
      </w:r>
      <w:r>
        <w:rPr>
          <w:rFonts w:ascii="Calibri" w:hAnsi="Calibri"/>
          <w:color w:val="525866"/>
          <w:sz w:val="22"/>
        </w:rPr>
        <w:t xml:space="preserve">BR management described the fintech spending environment as favorable, with clients focused on operational cost reduction through AI (up to 30% cost savings from BR's agentic AI platform). BR's pipeline is up 20%+ YoY and origination up 25% YoY. </w:t>
      </w:r>
      <w:r>
        <w:rPr>
          <w:rFonts w:ascii="Calibri" w:hAnsi="Calibri"/>
          <w:b/>
          <w:color w:val="525866"/>
          <w:sz w:val="22"/>
        </w:rPr>
        <w:t xml:space="preserve">Read-through: </w:t>
      </w:r>
      <w:r>
        <w:rPr>
          <w:rFonts w:ascii="Calibri" w:hAnsi="Calibri"/>
          <w:color w:val="525866"/>
          <w:sz w:val="22"/>
        </w:rPr>
        <w:t>Supports FIS's capital markets segment demand backdrop; the headwind for FIS is macro-driven lending volume softness, not a technology spending pullback.</w:t>
      </w:r>
    </w:p>
    <w:p>
      <w:pPr>
        <w:pStyle w:val="ListBullet"/>
        <w:ind w:left="360" w:hanging="360"/>
      </w:pPr>
      <w:r>
        <w:rPr>
          <w:rFonts w:ascii="Calibri" w:hAnsi="Calibri"/>
          <w:b/>
          <w:color w:val="525866"/>
          <w:sz w:val="22"/>
        </w:rPr>
        <w:t xml:space="preserve">Tokenization in institutional markets is the most near-term opportunity: </w:t>
      </w:r>
      <w:r>
        <w:rPr>
          <w:rFonts w:ascii="Calibri" w:hAnsi="Calibri"/>
          <w:color w:val="525866"/>
          <w:sz w:val="22"/>
        </w:rPr>
        <w:t xml:space="preserve">BR is processing $365B/day in tokenized assets via its DLR platform ($7T/month), and views institutional capital markets as the primary near-term use case for tokenization (collateral mobility, instantaneous settlement). </w:t>
      </w:r>
      <w:r>
        <w:rPr>
          <w:rFonts w:ascii="Calibri" w:hAnsi="Calibri"/>
          <w:b/>
          <w:color w:val="525866"/>
          <w:sz w:val="22"/>
        </w:rPr>
        <w:t xml:space="preserve">Read-through: </w:t>
      </w:r>
      <w:r>
        <w:rPr>
          <w:rFonts w:ascii="Calibri" w:hAnsi="Calibri"/>
          <w:color w:val="525866"/>
          <w:sz w:val="22"/>
        </w:rPr>
        <w:t>FIS's Project Keystone targets the retail/deposit side of tokenization; BR's institutional focus is complementary rather than directly competitive.</w:t>
      </w:r>
    </w:p>
    <w:p>
      <w:pPr>
        <w:pStyle w:val="ListBullet"/>
        <w:ind w:left="360" w:hanging="360"/>
      </w:pPr>
      <w:r>
        <w:rPr>
          <w:rFonts w:ascii="Calibri" w:hAnsi="Calibri"/>
          <w:b/>
          <w:color w:val="525866"/>
          <w:sz w:val="22"/>
        </w:rPr>
        <w:t xml:space="preserve">BR Q3 sales were a disappointment; larger deals moving slowly: </w:t>
      </w:r>
      <w:r>
        <w:rPr>
          <w:rFonts w:ascii="Calibri" w:hAnsi="Calibri"/>
          <w:color w:val="525866"/>
          <w:sz w:val="22"/>
        </w:rPr>
        <w:t xml:space="preserve">BR management acknowledged at the Bernstein conference that Q3 (fiscal Q3, Jan–Mar 2026) sales were "definitely a disappointment," with a few larger deals taking longer to close than expected. This caused a more cautious full-year outlook. </w:t>
      </w:r>
      <w:r>
        <w:rPr>
          <w:rFonts w:ascii="Calibri" w:hAnsi="Calibri"/>
          <w:b/>
          <w:color w:val="525866"/>
          <w:sz w:val="22"/>
        </w:rPr>
        <w:t xml:space="preserve">Read-through: </w:t>
      </w:r>
      <w:r>
        <w:rPr>
          <w:rFonts w:ascii="Calibri" w:hAnsi="Calibri"/>
          <w:color w:val="525866"/>
          <w:sz w:val="22"/>
        </w:rPr>
        <w:t>Suggests the capital markets technology deal environment may have some lumpiness in large deal timing — consistent with FIS's capital markets license timing headwind in Q2 2026 (125 bps drag).</w:t>
      </w:r>
    </w:p>
    <w:p>
      <w:pPr>
        <w:pStyle w:val="ListBullet"/>
        <w:ind w:left="360" w:hanging="360"/>
      </w:pPr>
      <w:r>
        <w:rPr>
          <w:rFonts w:ascii="Calibri" w:hAnsi="Calibri"/>
          <w:b/>
          <w:color w:val="525866"/>
          <w:sz w:val="22"/>
        </w:rPr>
        <w:t xml:space="preserve">BR reaffirmed 7%+ recurring revenue growth and 10%–12% adj. EPS growth: </w:t>
      </w:r>
      <w:r>
        <w:rPr>
          <w:rFonts w:ascii="Calibri" w:hAnsi="Calibri"/>
          <w:color w:val="525866"/>
          <w:sz w:val="22"/>
        </w:rPr>
        <w:t xml:space="preserve">Despite the sales disappointment, BR management reaffirmed expectations to be "at or above 7% recurring revenue growth, 10%–12% adjusted EPS growth" for the fiscal year. </w:t>
      </w:r>
      <w:r>
        <w:rPr>
          <w:rFonts w:ascii="Calibri" w:hAnsi="Calibri"/>
          <w:b/>
          <w:color w:val="525866"/>
          <w:sz w:val="22"/>
        </w:rPr>
        <w:t xml:space="preserve">Read-through: </w:t>
      </w:r>
      <w:r>
        <w:rPr>
          <w:rFonts w:ascii="Calibri" w:hAnsi="Calibri"/>
          <w:color w:val="525866"/>
          <w:sz w:val="22"/>
        </w:rPr>
        <w:t>Suggests the capital markets technology sector's underlying growth remains intact even if individual deal timing is lumpy — supportive of FIS's capital markets recurring ACV growth (up 45% in Q1).</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Anthropic partnership and Project Keystone announcements</w:t>
      </w:r>
      <w:r>
        <w:rPr>
          <w:rFonts w:ascii="Calibri" w:hAnsi="Calibri"/>
          <w:color w:val="525866"/>
          <w:sz w:val="22"/>
        </w:rPr>
        <w:t xml:space="preserve"> at the Emerald client conference — both were received positively by clients but negatively by the market, creating a potential re-rating catalyst if Q2 results demonstrate continued execution.</w:t>
      </w:r>
    </w:p>
    <w:p>
      <w:pPr>
        <w:pStyle w:val="ListBullet"/>
        <w:ind w:left="360" w:hanging="360"/>
      </w:pPr>
      <w:r>
        <w:rPr>
          <w:rFonts w:ascii="Calibri" w:hAnsi="Calibri"/>
          <w:b/>
          <w:color w:val="525866"/>
          <w:sz w:val="22"/>
        </w:rPr>
        <w:t xml:space="preserve">May 8, 2026 — Q1 2026 Earnings Beat; Q2 Guidance Slightly Below Consensus: </w:t>
      </w:r>
      <w:r>
        <w:rPr>
          <w:rFonts w:ascii="Calibri" w:hAnsi="Calibri"/>
          <w:color w:val="525866"/>
          <w:sz w:val="22"/>
        </w:rPr>
        <w:t xml:space="preserve">FIS reported Q1 2026 Adj. EPS of $1.364 vs. $1.290 consensus (+5.7% beat) and revenue of $3.295B vs. $3.282B consensus. Full-year guidance reiterated. Q2 guidance midpoint came in slightly below consensus, driving a ~8% stock decline on the day. </w:t>
      </w:r>
      <w:r>
        <w:rPr>
          <w:rFonts w:ascii="Calibri" w:hAnsi="Calibri"/>
          <w:b/>
          <w:color w:val="525866"/>
          <w:sz w:val="22"/>
        </w:rPr>
        <w:t xml:space="preserve">Implication: </w:t>
      </w:r>
      <w:r>
        <w:rPr>
          <w:rFonts w:ascii="Calibri" w:hAnsi="Calibri"/>
          <w:color w:val="525866"/>
          <w:sz w:val="22"/>
        </w:rPr>
        <w:t>Sets a clean baseline for Q2 — the bar is achievable and the stock reaction was an overreaction to a modest Q2 guide.</w:t>
      </w:r>
    </w:p>
    <w:p>
      <w:pPr>
        <w:pStyle w:val="ListBullet"/>
        <w:ind w:left="360" w:hanging="360"/>
      </w:pPr>
      <w:r>
        <w:rPr>
          <w:rFonts w:ascii="Calibri" w:hAnsi="Calibri"/>
          <w:b/>
          <w:color w:val="525866"/>
          <w:sz w:val="22"/>
        </w:rPr>
        <w:t xml:space="preserve">May 8, 2026 — Anthropic Partnership Announced (Emerald Client Conference): </w:t>
      </w:r>
      <w:r>
        <w:rPr>
          <w:rFonts w:ascii="Calibri" w:hAnsi="Calibri"/>
          <w:color w:val="525866"/>
          <w:sz w:val="22"/>
        </w:rPr>
        <w:t xml:space="preserve">FIS announced a landmark partnership with Anthropic to co-build agentic AI for financial institutions, beginning with a Financial Crimes AI Agent (compressing AML investigations from days to minutes). FIS owns all IP and distribution rights; Anthropic compensated on token usage. BMO and Amalgamated Bank are design partners. General availability planned for H2 2026; revenue contribution expected primarily in 2027. </w:t>
      </w:r>
      <w:r>
        <w:rPr>
          <w:rFonts w:ascii="Calibri" w:hAnsi="Calibri"/>
          <w:b/>
          <w:color w:val="525866"/>
          <w:sz w:val="22"/>
        </w:rPr>
        <w:t xml:space="preserve">Implication: </w:t>
      </w:r>
      <w:r>
        <w:rPr>
          <w:rFonts w:ascii="Calibri" w:hAnsi="Calibri"/>
          <w:color w:val="525866"/>
          <w:sz w:val="22"/>
        </w:rPr>
        <w:t>No 2026 revenue impact, but positions FIS as the regulated AI infrastructure layer for banking — a potential long-term re-rating catalyst.</w:t>
      </w:r>
    </w:p>
    <w:p>
      <w:pPr>
        <w:pStyle w:val="ListBullet"/>
        <w:ind w:left="360" w:hanging="360"/>
      </w:pPr>
      <w:r>
        <w:rPr>
          <w:rFonts w:ascii="Calibri" w:hAnsi="Calibri"/>
          <w:b/>
          <w:color w:val="525866"/>
          <w:sz w:val="22"/>
        </w:rPr>
        <w:t xml:space="preserve">May 8, 2026 — Project Keystone Tokenized Deposit Network Launched: </w:t>
      </w:r>
      <w:r>
        <w:rPr>
          <w:rFonts w:ascii="Calibri" w:hAnsi="Calibri"/>
          <w:color w:val="525866"/>
          <w:sz w:val="22"/>
        </w:rPr>
        <w:t xml:space="preserve">FIS launched Project Keystone, a bank-owned tokenized deposit network with six U.S. banks (including Citizens, Fifth Third, and Huntington) as participants. Powered by FIS's Lyric digital asset platform. Positioned as a regulated, bank-centric alternative to stablecoins. </w:t>
      </w:r>
      <w:r>
        <w:rPr>
          <w:rFonts w:ascii="Calibri" w:hAnsi="Calibri"/>
          <w:b/>
          <w:color w:val="525866"/>
          <w:sz w:val="22"/>
        </w:rPr>
        <w:t xml:space="preserve">Implication: </w:t>
      </w:r>
      <w:r>
        <w:rPr>
          <w:rFonts w:ascii="Calibri" w:hAnsi="Calibri"/>
          <w:color w:val="525866"/>
          <w:sz w:val="22"/>
        </w:rPr>
        <w:t>Strategically important for FIS's digital asset positioning; no near-term revenue impact but strong client reception reported.</w:t>
      </w:r>
    </w:p>
    <w:p>
      <w:pPr>
        <w:pStyle w:val="ListBullet"/>
        <w:ind w:left="360" w:hanging="360"/>
      </w:pPr>
      <w:r>
        <w:rPr>
          <w:rFonts w:ascii="Calibri" w:hAnsi="Calibri"/>
          <w:b/>
          <w:color w:val="525866"/>
          <w:sz w:val="22"/>
        </w:rPr>
        <w:t xml:space="preserve">May 8, 2026 — New Data &amp; AI Platform and Lyric Digital Asset Platform Unveiled: </w:t>
      </w:r>
      <w:r>
        <w:rPr>
          <w:rFonts w:ascii="Calibri" w:hAnsi="Calibri"/>
          <w:color w:val="525866"/>
          <w:sz w:val="22"/>
        </w:rPr>
        <w:t xml:space="preserve">FIS unveiled a unified real-time data platform aggregating large-scale card transaction and core account data, enabling banks to build AI models in real time. Lyric digital asset platform also launched. </w:t>
      </w:r>
      <w:r>
        <w:rPr>
          <w:rFonts w:ascii="Calibri" w:hAnsi="Calibri"/>
          <w:b/>
          <w:color w:val="525866"/>
          <w:sz w:val="22"/>
        </w:rPr>
        <w:t xml:space="preserve">Implication: </w:t>
      </w:r>
      <w:r>
        <w:rPr>
          <w:rFonts w:ascii="Calibri" w:hAnsi="Calibri"/>
          <w:color w:val="525866"/>
          <w:sz w:val="22"/>
        </w:rPr>
        <w:t>Expands FIS's TAM into data products; no 2026 revenue guidance provided.</w:t>
      </w:r>
    </w:p>
    <w:p>
      <w:pPr>
        <w:pStyle w:val="ListBullet"/>
        <w:ind w:left="360" w:hanging="360"/>
      </w:pPr>
      <w:r>
        <w:rPr>
          <w:rFonts w:ascii="Calibri" w:hAnsi="Calibri"/>
          <w:b/>
          <w:color w:val="525866"/>
          <w:sz w:val="22"/>
        </w:rPr>
        <w:t xml:space="preserve">June 12, 2026 — FIS Shareholders Back Board and Executive Compensation at Annual Meeting (8-K): </w:t>
      </w:r>
      <w:r>
        <w:rPr>
          <w:rFonts w:ascii="Calibri" w:hAnsi="Calibri"/>
          <w:color w:val="525866"/>
          <w:sz w:val="22"/>
        </w:rPr>
        <w:t xml:space="preserve">Routine annual meeting; no material governance changes. </w:t>
      </w:r>
      <w:r>
        <w:rPr>
          <w:rFonts w:ascii="Calibri" w:hAnsi="Calibri"/>
          <w:b/>
          <w:color w:val="525866"/>
          <w:sz w:val="22"/>
        </w:rPr>
        <w:t xml:space="preserve">Implication: </w:t>
      </w:r>
      <w:r>
        <w:rPr>
          <w:rFonts w:ascii="Calibri" w:hAnsi="Calibri"/>
          <w:color w:val="525866"/>
          <w:sz w:val="22"/>
        </w:rPr>
        <w:t>No material impact on the investment thesis.</w:t>
      </w:r>
    </w:p>
    <w:p>
      <w:pPr>
        <w:pStyle w:val="ListBullet"/>
        <w:ind w:left="360" w:hanging="360"/>
      </w:pPr>
      <w:r>
        <w:rPr>
          <w:rFonts w:ascii="Calibri" w:hAnsi="Calibri"/>
          <w:b/>
          <w:color w:val="525866"/>
          <w:sz w:val="22"/>
        </w:rPr>
        <w:t xml:space="preserve">June 18, 2026 — Legal Leadership Change (8-K): </w:t>
      </w:r>
      <w:r>
        <w:rPr>
          <w:rFonts w:ascii="Calibri" w:hAnsi="Calibri"/>
          <w:color w:val="525866"/>
          <w:sz w:val="22"/>
        </w:rPr>
        <w:t xml:space="preserve">FIS announced a change in legal leadership. No details on the specific executive or strategic rationale provided in the filing. </w:t>
      </w:r>
      <w:r>
        <w:rPr>
          <w:rFonts w:ascii="Calibri" w:hAnsi="Calibri"/>
          <w:b/>
          <w:color w:val="525866"/>
          <w:sz w:val="22"/>
        </w:rPr>
        <w:t xml:space="preserve">Implication: </w:t>
      </w:r>
      <w:r>
        <w:rPr>
          <w:rFonts w:ascii="Calibri" w:hAnsi="Calibri"/>
          <w:color w:val="525866"/>
          <w:sz w:val="22"/>
        </w:rPr>
        <w:t>Routine leadership transition; monitor for any regulatory or litigation implications.</w:t>
      </w:r>
    </w:p>
    <w:p>
      <w:pPr>
        <w:pStyle w:val="ListBullet"/>
        <w:ind w:left="360" w:hanging="360"/>
      </w:pPr>
      <w:r>
        <w:rPr>
          <w:rFonts w:ascii="Calibri" w:hAnsi="Calibri"/>
          <w:b/>
          <w:color w:val="525866"/>
          <w:sz w:val="22"/>
        </w:rPr>
        <w:t xml:space="preserve">Ongoing — Pismo/Visa Competitive Narrative: </w:t>
      </w:r>
      <w:r>
        <w:rPr>
          <w:rFonts w:ascii="Calibri" w:hAnsi="Calibri"/>
          <w:color w:val="525866"/>
          <w:sz w:val="22"/>
        </w:rPr>
        <w:t xml:space="preserve">Visa's Pismo subsidiary won a Wells Fargo contract (consumer credit card processing), which FIS does not handle at Wells Fargo. Management has clarified the impact is zero for FIS's Wells Fargo relationship. At the JP Morgan conference, management adopted a more candid tone, acknowledging Visa entering credit processing is a "meaningful move" but noting FIS is now the largest U.S. credit card processor post-Total Issuer Solutions acquisition, with ~65% of revenue renewed through 2029. </w:t>
      </w:r>
      <w:r>
        <w:rPr>
          <w:rFonts w:ascii="Calibri" w:hAnsi="Calibri"/>
          <w:b/>
          <w:color w:val="525866"/>
          <w:sz w:val="22"/>
        </w:rPr>
        <w:t xml:space="preserve">Implication: </w:t>
      </w:r>
      <w:r>
        <w:rPr>
          <w:rFonts w:ascii="Calibri" w:hAnsi="Calibri"/>
          <w:color w:val="525866"/>
          <w:sz w:val="22"/>
        </w:rPr>
        <w:t>Competitive risk is real but manageable; the market may be overpricing the Pismo threat given FIS's contract renewal coverage.</w:t>
      </w:r>
    </w:p>
    <w:p>
      <w:pPr>
        <w:pStyle w:val="ListBullet"/>
        <w:ind w:left="360" w:hanging="360"/>
      </w:pPr>
      <w:r>
        <w:rPr>
          <w:rFonts w:ascii="Calibri" w:hAnsi="Calibri"/>
          <w:b/>
          <w:color w:val="525866"/>
          <w:sz w:val="22"/>
        </w:rPr>
        <w:t xml:space="preserve">Ongoing — Capital Markets Lending Softness: </w:t>
      </w:r>
      <w:r>
        <w:rPr>
          <w:rFonts w:ascii="Calibri" w:hAnsi="Calibri"/>
          <w:color w:val="525866"/>
          <w:sz w:val="22"/>
        </w:rPr>
        <w:t xml:space="preserve">Macro volatility caused a slowdown in loan syndication and debt issuances in Q1 2026, creating a headwind for FIS's capital markets segment. Management adopted a conservative posture, assuming the headwind persists through the full year. Capital markets recurring ACV growth remained very strong (+45% in Q1), indicating the softness is a market activity issue, not a product or competitive problem. </w:t>
      </w:r>
      <w:r>
        <w:rPr>
          <w:rFonts w:ascii="Calibri" w:hAnsi="Calibri"/>
          <w:b/>
          <w:color w:val="525866"/>
          <w:sz w:val="22"/>
        </w:rPr>
        <w:t xml:space="preserve">Implication: </w:t>
      </w:r>
      <w:r>
        <w:rPr>
          <w:rFonts w:ascii="Calibri" w:hAnsi="Calibri"/>
          <w:color w:val="525866"/>
          <w:sz w:val="22"/>
        </w:rPr>
        <w:t>The key Q2 swing factor — any stabilization in lending volumes could drive upside vs. the conservative guide.</w:t>
      </w:r>
    </w:p>
    <w:p>
      <w:pPr>
        <w:pStyle w:val="ListBullet"/>
        <w:ind w:left="360" w:hanging="360"/>
      </w:pPr>
      <w:r>
        <w:rPr>
          <w:rFonts w:ascii="Calibri" w:hAnsi="Calibri"/>
          <w:b/>
          <w:color w:val="525866"/>
          <w:sz w:val="22"/>
        </w:rPr>
        <w:t xml:space="preserve">Ongoing — Bank M&amp;A Activity Elevated: </w:t>
      </w:r>
      <w:r>
        <w:rPr>
          <w:rFonts w:ascii="Calibri" w:hAnsi="Calibri"/>
          <w:color w:val="525866"/>
          <w:sz w:val="22"/>
        </w:rPr>
        <w:t xml:space="preserve">Management described bank M&amp;A as "consistent and elevated with larger deal sizes" — a tailwind for FIS as both buyers and sellers need technology upgrades. Accounts on file growth across FIS core systems has accelerated to mid-single digits. </w:t>
      </w:r>
      <w:r>
        <w:rPr>
          <w:rFonts w:ascii="Calibri" w:hAnsi="Calibri"/>
          <w:b/>
          <w:color w:val="525866"/>
          <w:sz w:val="22"/>
        </w:rPr>
        <w:t xml:space="preserve">Implication: </w:t>
      </w:r>
      <w:r>
        <w:rPr>
          <w:rFonts w:ascii="Calibri" w:hAnsi="Calibri"/>
          <w:color w:val="525866"/>
          <w:sz w:val="22"/>
        </w:rPr>
        <w:t>Structural tailwind for banking segment growth; supports the upper-end tracking commentary.</w:t>
      </w:r>
    </w:p>
    <w:p>
      <w:pPr>
        <w:pStyle w:val="ListBullet"/>
        <w:ind w:left="360" w:hanging="360"/>
      </w:pPr>
      <w:r>
        <w:rPr>
          <w:rFonts w:ascii="Calibri" w:hAnsi="Calibri"/>
          <w:b/>
          <w:color w:val="525866"/>
          <w:sz w:val="22"/>
        </w:rPr>
        <w:t xml:space="preserve">Ongoing — Debt Refinancing and Deleveraging: </w:t>
      </w:r>
      <w:r>
        <w:rPr>
          <w:rFonts w:ascii="Calibri" w:hAnsi="Calibri"/>
          <w:color w:val="525866"/>
          <w:sz w:val="22"/>
        </w:rPr>
        <w:t xml:space="preserve">FIS executed a large multi-tranche USD and Euro senior notes offering to refinance the Total Issuer Solutions acquisition bridge into longer-dated fixed and floating rate instruments. Management committed to paying down acquisition debt by end of 2027, targeting ~2.8x leverage as the trigger for meaningfully increased capital returns. </w:t>
      </w:r>
      <w:r>
        <w:rPr>
          <w:rFonts w:ascii="Calibri" w:hAnsi="Calibri"/>
          <w:b/>
          <w:color w:val="525866"/>
          <w:sz w:val="22"/>
        </w:rPr>
        <w:t xml:space="preserve">Implication: </w:t>
      </w:r>
      <w:r>
        <w:rPr>
          <w:rFonts w:ascii="Calibri" w:hAnsi="Calibri"/>
          <w:color w:val="525866"/>
          <w:sz w:val="22"/>
        </w:rPr>
        <w:t>Near-term capital returns remain limited (primarily dividends); the deleveraging path is clear but limits buyback activity through 2027.</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open-market transaction since Q1 earnings was a </w:t>
      </w:r>
      <w:r>
        <w:rPr>
          <w:rFonts w:ascii="Calibri" w:hAnsi="Calibri"/>
          <w:b/>
          <w:color w:val="525866"/>
          <w:sz w:val="22"/>
        </w:rPr>
        <w:t>director open-market buy</w:t>
      </w:r>
      <w:r>
        <w:rPr>
          <w:rFonts w:ascii="Calibri" w:hAnsi="Calibri"/>
          <w:color w:val="525866"/>
          <w:sz w:val="22"/>
        </w:rPr>
        <w:t xml:space="preserve"> by Jeffrey Goldstein on July 15, 2026 — a modest but directionally positive signal. All other transactions were routine annual director equity grants (code A), not open-market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Goldstein, Jeffrey A.</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1,386 shares</w:t>
            </w:r>
          </w:p>
        </w:tc>
        <w:tc>
          <w:tcPr>
            <w:tcW w:type="dxa" w:w="1440"/>
          </w:tcPr>
          <w:p>
            <w:r>
              <w:rPr>
                <w:rFonts w:ascii="Calibri" w:hAnsi="Calibri"/>
                <w:sz w:val="22"/>
              </w:rPr>
              <w:t>July 15, 2026</w:t>
            </w:r>
          </w:p>
        </w:tc>
        <w:tc>
          <w:tcPr>
            <w:tcW w:type="dxa" w:w="1440"/>
          </w:tcPr>
          <w:p>
            <w:r>
              <w:rPr>
                <w:rFonts w:ascii="Calibri" w:hAnsi="Calibri"/>
                <w:sz w:val="22"/>
              </w:rPr>
              <w:t>10b5-1 plan; discretionary purchase; total holding 17,112 shares post-transaction</w:t>
            </w:r>
          </w:p>
        </w:tc>
      </w:tr>
      <w:tr>
        <w:tc>
          <w:tcPr>
            <w:tcW w:type="dxa" w:w="1440"/>
          </w:tcPr>
          <w:p>
            <w:r>
              <w:rPr>
                <w:rFonts w:ascii="Calibri" w:hAnsi="Calibri"/>
                <w:sz w:val="22"/>
              </w:rPr>
              <w:t>Goldstein, Jeffrey A.</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8,036 RSUs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Anasenes, Nicole</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RSUs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Chakravarthy, Anil</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shares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Gibson, Kourtney</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RSUs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Hook, Lisa</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RSUs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Lamneck, Kenneth T.</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shares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Lauer, Gary L.</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RSUs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r>
        <w:tc>
          <w:tcPr>
            <w:tcW w:type="dxa" w:w="1440"/>
          </w:tcPr>
          <w:p>
            <w:r>
              <w:rPr>
                <w:rFonts w:ascii="Calibri" w:hAnsi="Calibri"/>
                <w:sz w:val="22"/>
              </w:rPr>
              <w:t>Stallings, James B. Jr.</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5,485 shares</w:t>
            </w:r>
          </w:p>
        </w:tc>
        <w:tc>
          <w:tcPr>
            <w:tcW w:type="dxa" w:w="1440"/>
          </w:tcPr>
          <w:p>
            <w:r>
              <w:rPr>
                <w:rFonts w:ascii="Calibri" w:hAnsi="Calibri"/>
                <w:sz w:val="22"/>
              </w:rPr>
              <w:t>June 15, 2026</w:t>
            </w:r>
          </w:p>
        </w:tc>
        <w:tc>
          <w:tcPr>
            <w:tcW w:type="dxa" w:w="1440"/>
          </w:tcPr>
          <w:p>
            <w:r>
              <w:rPr>
                <w:rFonts w:ascii="Calibri" w:hAnsi="Calibri"/>
                <w:sz w:val="22"/>
              </w:rPr>
              <w:t>Routine annual director compensation grant; not open-market</w:t>
            </w:r>
          </w:p>
        </w:tc>
      </w:tr>
    </w:tbl>
    <w:p>
      <w:r>
        <w:rPr>
          <w:rFonts w:ascii="Calibri" w:hAnsi="Calibri"/>
          <w:b/>
          <w:color w:val="525866"/>
          <w:sz w:val="22"/>
        </w:rPr>
        <w:t xml:space="preserve">Note: </w:t>
      </w:r>
      <w:r>
        <w:rPr>
          <w:rFonts w:ascii="Calibri" w:hAnsi="Calibri"/>
          <w:color w:val="525866"/>
          <w:sz w:val="22"/>
        </w:rPr>
        <w:t>Only open-market transactions (Form 4 codes P/S) and 10b5-1 plan initiations are flagged as signals. Annual equity grants (code A) are routine director compensation and carry no informational value. The Goldstein open-market buy on July 15 (under a 10b5-1 plan) is the only discretionary transaction in the window — a modest positive signal at a price of approximately $41.10 per share. No executive officer (CEO, CFO, COO) transactions were filed in the period.</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