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Bdr>
          <w:bottom w:val="single" w:sz="4" w:space="1" w:color="FB9120"/>
        </w:pBdr>
      </w:pPr>
      <w:r>
        <w:rPr>
          <w:rFonts w:ascii="Calibri" w:hAnsi="Calibri"/>
          <w:b/>
          <w:color w:val="3B4259"/>
          <w:sz w:val="40"/>
        </w:rPr>
        <w:t>FIS — Q2 2026 Earnings Preview</w:t>
      </w:r>
    </w:p>
    <w:tbl>
      <w:tblPr>
        <w:tblStyle w:val="TableGrid"/>
        <w:tblW w:type="auto" w:w="0"/>
        <w:tblLook w:firstColumn="1" w:firstRow="1" w:lastColumn="0" w:lastRow="0" w:noHBand="0" w:noVBand="1" w:val="04A0"/>
      </w:tblPr>
      <w:tblGrid>
        <w:gridCol w:w="4320"/>
        <w:gridCol w:w="4320"/>
      </w:tblGrid>
      <w:tr>
        <w:tc>
          <w:tcPr>
            <w:tcW w:type="dxa" w:w="4320"/>
          </w:tcPr>
          <w:p>
            <w:r>
              <w:rPr>
                <w:rFonts w:ascii="Calibri" w:hAnsi="Calibri"/>
                <w:b/>
                <w:sz w:val="22"/>
              </w:rPr>
              <w:t>Company</w:t>
            </w:r>
          </w:p>
        </w:tc>
        <w:tc>
          <w:tcPr>
            <w:tcW w:type="dxa" w:w="4320"/>
          </w:tcPr>
          <w:p>
            <w:r>
              <w:rPr>
                <w:rFonts w:ascii="Calibri" w:hAnsi="Calibri"/>
                <w:sz w:val="22"/>
              </w:rPr>
              <w:t>Fidelity National Information Services, Inc. (FIS)</w:t>
            </w:r>
          </w:p>
        </w:tc>
      </w:tr>
      <w:tr>
        <w:tc>
          <w:tcPr>
            <w:tcW w:type="dxa" w:w="4320"/>
          </w:tcPr>
          <w:p>
            <w:r>
              <w:rPr>
                <w:rFonts w:ascii="Calibri" w:hAnsi="Calibri"/>
                <w:b/>
                <w:sz w:val="22"/>
              </w:rPr>
              <w:t>Earnings Date</w:t>
            </w:r>
          </w:p>
        </w:tc>
        <w:tc>
          <w:tcPr>
            <w:tcW w:type="dxa" w:w="4320"/>
          </w:tcPr>
          <w:p>
            <w:r>
              <w:rPr>
                <w:rFonts w:ascii="Calibri" w:hAnsi="Calibri"/>
                <w:sz w:val="22"/>
              </w:rPr>
              <w:t>August 4, 2026 (Q2 2026)</w:t>
            </w:r>
          </w:p>
        </w:tc>
      </w:tr>
      <w:tr>
        <w:tc>
          <w:tcPr>
            <w:tcW w:type="dxa" w:w="4320"/>
          </w:tcPr>
          <w:p>
            <w:r>
              <w:rPr>
                <w:rFonts w:ascii="Calibri" w:hAnsi="Calibri"/>
                <w:b/>
                <w:sz w:val="22"/>
              </w:rPr>
              <w:t>Prepared</w:t>
            </w:r>
          </w:p>
        </w:tc>
        <w:tc>
          <w:tcPr>
            <w:tcW w:type="dxa" w:w="4320"/>
          </w:tcPr>
          <w:p>
            <w:r>
              <w:rPr>
                <w:rFonts w:ascii="Calibri" w:hAnsi="Calibri"/>
                <w:sz w:val="22"/>
              </w:rPr>
              <w:t>August 3, 2026</w:t>
            </w:r>
          </w:p>
        </w:tc>
      </w:tr>
      <w:tr>
        <w:tc>
          <w:tcPr>
            <w:tcW w:type="dxa" w:w="4320"/>
          </w:tcPr>
          <w:p>
            <w:r>
              <w:rPr>
                <w:rFonts w:ascii="Calibri" w:hAnsi="Calibri"/>
                <w:b/>
                <w:sz w:val="22"/>
              </w:rPr>
              <w:t>Reporting Period</w:t>
            </w:r>
          </w:p>
        </w:tc>
        <w:tc>
          <w:tcPr>
            <w:tcW w:type="dxa" w:w="4320"/>
          </w:tcPr>
          <w:p>
            <w:r>
              <w:rPr>
                <w:rFonts w:ascii="Calibri" w:hAnsi="Calibri"/>
                <w:sz w:val="22"/>
              </w:rPr>
              <w:t>Quarter ended June 30, 2026</w:t>
            </w:r>
          </w:p>
        </w:tc>
      </w:tr>
      <w:tr>
        <w:tc>
          <w:tcPr>
            <w:tcW w:type="dxa" w:w="4320"/>
          </w:tcPr>
          <w:p>
            <w:r>
              <w:rPr>
                <w:rFonts w:ascii="Calibri" w:hAnsi="Calibri"/>
                <w:b/>
                <w:sz w:val="22"/>
              </w:rPr>
              <w:t>Sector ETF Benchmark</w:t>
            </w:r>
          </w:p>
        </w:tc>
        <w:tc>
          <w:tcPr>
            <w:tcW w:type="dxa" w:w="4320"/>
          </w:tcPr>
          <w:p>
            <w:r>
              <w:rPr>
                <w:rFonts w:ascii="Calibri" w:hAnsi="Calibri"/>
                <w:sz w:val="22"/>
              </w:rPr>
              <w:t>FINX (Global X FinTech ETF)</w:t>
            </w:r>
          </w:p>
        </w:tc>
      </w:tr>
    </w:tbl>
    <w:p>
      <w:pPr>
        <w:pStyle w:val="Heading2"/>
      </w:pPr>
      <w:r>
        <w:rPr>
          <w:rFonts w:ascii="Calibri" w:hAnsi="Calibri"/>
          <w:b/>
          <w:color w:val="3B4259"/>
          <w:sz w:val="28"/>
        </w:rPr>
        <w:t>1. Earnings Preview</w:t>
      </w:r>
    </w:p>
    <w:p>
      <w:r>
        <w:rPr>
          <w:rFonts w:ascii="Calibri" w:hAnsi="Calibri"/>
          <w:b/>
          <w:color w:val="525866"/>
          <w:sz w:val="22"/>
        </w:rPr>
        <w:t xml:space="preserve">Key Takeaway: </w:t>
      </w:r>
      <w:r>
        <w:rPr>
          <w:rFonts w:ascii="Calibri" w:hAnsi="Calibri"/>
          <w:color w:val="525866"/>
          <w:sz w:val="22"/>
        </w:rPr>
        <w:t>The setup into Q2 is constructive — consensus sits at a manageable bar, Banking is tracking toward the upper end of its full-year range, and the CFO explicitly flagged Q2 as the quarter that will "substantially de-risk the full year." The single biggest swing factor is whether Capital Markets recurring revenue shows the sequential acceleration management promised after Q1's lending-driven softness.</w:t>
      </w:r>
    </w:p>
    <w:p>
      <w:r>
        <w:rPr>
          <w:rFonts w:ascii="Calibri" w:hAnsi="Calibri"/>
          <w:color w:val="525866"/>
          <w:sz w:val="22"/>
        </w:rPr>
        <w:t xml:space="preserve">Heading into Q2 2026, FIS carries a </w:t>
      </w:r>
      <w:r>
        <w:rPr>
          <w:rFonts w:ascii="Calibri" w:hAnsi="Calibri"/>
          <w:b/>
          <w:color w:val="525866"/>
          <w:sz w:val="22"/>
        </w:rPr>
        <w:t>beatable bar</w:t>
      </w:r>
      <w:r>
        <w:rPr>
          <w:rFonts w:ascii="Calibri" w:hAnsi="Calibri"/>
          <w:color w:val="525866"/>
          <w:sz w:val="22"/>
        </w:rPr>
        <w:t xml:space="preserve"> on both revenue and EPS: consensus sits at ~$3.38B in revenue and ~$1.47 in adjusted EPS, squarely within the company's own guided range of $3.375–$3.395B and $1.45–$1.49. Management's tone since the May 8 print has been notably confident — CEO Stephanie Ferris described the current banking environment as a "generational moment" not seen since before the Great Financial Crisis, citing deregulation, record bank M&amp;A, and AI adoption as three simultaneous tailwinds — and CFO James Kehoe stated at the JP Morgan conference in May that one-time costs are tracking below plan and free cash flow has "a bunch of upside." Estimate revisions have drifted modestly lower since the Q1 print (adjusted EPS consensus for Q2 moved from ~$1.47 to ~$1.47, essentially flat), suggesting the street has absorbed the Capital Markets lending headwind without further cuts. The stock has underperformed sharply over the past 12 months (down ~44%), with multiple compression the dominant driver, leaving the valuation at ~8.7x NTM P/E — a level that prices in continued execution risk rather than the improving fundamentals. The key wildcard is </w:t>
      </w:r>
      <w:r>
        <w:rPr>
          <w:rFonts w:ascii="Calibri" w:hAnsi="Calibri"/>
          <w:b/>
          <w:color w:val="525866"/>
          <w:sz w:val="22"/>
        </w:rPr>
        <w:t>Capital Markets recurring revenue</w:t>
      </w:r>
      <w:r>
        <w:rPr>
          <w:rFonts w:ascii="Calibri" w:hAnsi="Calibri"/>
          <w:color w:val="525866"/>
          <w:sz w:val="22"/>
        </w:rPr>
        <w:t>: management guided Q1 as the trough and promised sequential acceleration through the year, but any sign that lending-volume softness is persisting beyond the guided assumption would pressure the stock meaningfully, while an upside surprise there — combined with Banking holding near the top of its range — could catalyze a re-rating.</w:t>
      </w:r>
    </w:p>
    <w:p>
      <w:pPr>
        <w:pStyle w:val="Heading2"/>
      </w:pPr>
      <w:r>
        <w:rPr>
          <w:rFonts w:ascii="Calibri" w:hAnsi="Calibri"/>
          <w:b/>
          <w:color w:val="3B4259"/>
          <w:sz w:val="28"/>
        </w:rPr>
        <w:t>2. KPIs &amp; Consensus Expectations</w:t>
      </w:r>
    </w:p>
    <w:p>
      <w:r>
        <w:rPr>
          <w:rFonts w:ascii="Calibri" w:hAnsi="Calibri"/>
          <w:b/>
          <w:color w:val="525866"/>
          <w:sz w:val="22"/>
        </w:rPr>
        <w:t xml:space="preserve">Key Takeaway: </w:t>
      </w:r>
      <w:r>
        <w:rPr>
          <w:rFonts w:ascii="Calibri" w:hAnsi="Calibri"/>
          <w:color w:val="525866"/>
          <w:sz w:val="22"/>
        </w:rPr>
        <w:t xml:space="preserve">Consensus is a manageable bar — revenue and EPS estimates sit at the midpoint of guidance. </w:t>
      </w:r>
      <w:r>
        <w:rPr>
          <w:rFonts w:ascii="Calibri" w:hAnsi="Calibri"/>
          <w:b/>
          <w:color w:val="525866"/>
          <w:sz w:val="22"/>
        </w:rPr>
        <w:t>Banking segment revenue</w:t>
      </w:r>
      <w:r>
        <w:rPr>
          <w:rFonts w:ascii="Calibri" w:hAnsi="Calibri"/>
          <w:b/>
          <w:color w:val="525866"/>
          <w:sz w:val="22"/>
        </w:rPr>
        <w:t xml:space="preserve"> is the bigger swing factor to the upside; </w:t>
      </w:r>
      <w:r>
        <w:rPr>
          <w:rFonts w:ascii="Calibri" w:hAnsi="Calibri"/>
          <w:b/>
          <w:color w:val="525866"/>
          <w:sz w:val="22"/>
        </w:rPr>
        <w:t>Capital Markets recurring revenue</w:t>
      </w:r>
      <w:r>
        <w:rPr>
          <w:rFonts w:ascii="Calibri" w:hAnsi="Calibri"/>
          <w:color w:val="525866"/>
          <w:sz w:val="22"/>
        </w:rPr>
        <w:t xml:space="preserve"> is the key risk to the downside given the macro-driven lending headwind management flagged in Q1.</w:t>
      </w:r>
    </w:p>
    <w:p>
      <w:pPr>
        <w:pStyle w:val="Heading3"/>
      </w:pPr>
      <w:r>
        <w:rPr>
          <w:rFonts w:ascii="Calibri" w:hAnsi="Calibri"/>
          <w:b/>
          <w:color w:val="3B4259"/>
          <w:sz w:val="24"/>
        </w:rPr>
        <w:t>Table 1 — Q2 2026 Current Quarter Snapshot</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KPI</w:t>
            </w:r>
          </w:p>
        </w:tc>
        <w:tc>
          <w:tcPr>
            <w:tcW w:type="dxa" w:w="1234"/>
            <w:shd w:val="clear" w:color="auto" w:fill="3B4259"/>
          </w:tcPr>
          <w:p>
            <w:r>
              <w:rPr>
                <w:rFonts w:ascii="Calibri" w:hAnsi="Calibri"/>
                <w:b/>
                <w:color w:val="FFFFFF"/>
                <w:sz w:val="22"/>
              </w:rPr>
              <w:t>Q1 2026 Actual</w:t>
            </w:r>
          </w:p>
        </w:tc>
        <w:tc>
          <w:tcPr>
            <w:tcW w:type="dxa" w:w="1234"/>
            <w:shd w:val="clear" w:color="auto" w:fill="3B4259"/>
          </w:tcPr>
          <w:p>
            <w:r>
              <w:rPr>
                <w:rFonts w:ascii="Calibri" w:hAnsi="Calibri"/>
                <w:b/>
                <w:color w:val="FFFFFF"/>
                <w:sz w:val="22"/>
              </w:rPr>
              <w:t>Q2 2025 Actual (Prior Year)</w:t>
            </w:r>
          </w:p>
        </w:tc>
        <w:tc>
          <w:tcPr>
            <w:tcW w:type="dxa" w:w="1234"/>
            <w:shd w:val="clear" w:color="auto" w:fill="3B4259"/>
          </w:tcPr>
          <w:p>
            <w:r>
              <w:rPr>
                <w:rFonts w:ascii="Calibri" w:hAnsi="Calibri"/>
                <w:b/>
                <w:color w:val="FFFFFF"/>
                <w:sz w:val="22"/>
              </w:rPr>
              <w:t>Q2 2026 Consensus Estimate</w:t>
            </w:r>
          </w:p>
        </w:tc>
        <w:tc>
          <w:tcPr>
            <w:tcW w:type="dxa" w:w="1234"/>
            <w:shd w:val="clear" w:color="auto" w:fill="3B4259"/>
          </w:tcPr>
          <w:p>
            <w:r>
              <w:rPr>
                <w:rFonts w:ascii="Calibri" w:hAnsi="Calibri"/>
                <w:b/>
                <w:color w:val="FFFFFF"/>
                <w:sz w:val="22"/>
              </w:rPr>
              <w:t>YoY Change</w:t>
            </w:r>
          </w:p>
        </w:tc>
        <w:tc>
          <w:tcPr>
            <w:tcW w:type="dxa" w:w="1234"/>
            <w:shd w:val="clear" w:color="auto" w:fill="3B4259"/>
          </w:tcPr>
          <w:p>
            <w:r>
              <w:rPr>
                <w:rFonts w:ascii="Calibri" w:hAnsi="Calibri"/>
                <w:b/>
                <w:color w:val="FFFFFF"/>
                <w:sz w:val="22"/>
              </w:rPr>
              <w:t>Q2 2026 Guidance (Midpoint)</w:t>
            </w:r>
          </w:p>
        </w:tc>
        <w:tc>
          <w:tcPr>
            <w:tcW w:type="dxa" w:w="1234"/>
            <w:shd w:val="clear" w:color="auto" w:fill="3B4259"/>
          </w:tcPr>
          <w:p>
            <w:r>
              <w:rPr>
                <w:rFonts w:ascii="Calibri" w:hAnsi="Calibri"/>
                <w:b/>
                <w:color w:val="FFFFFF"/>
                <w:sz w:val="22"/>
              </w:rPr>
              <w:t>Consensus vs. Guidance</w:t>
            </w:r>
          </w:p>
        </w:tc>
      </w:tr>
      <w:tr>
        <w:tc>
          <w:tcPr>
            <w:tcW w:type="dxa" w:w="1234"/>
          </w:tcPr>
          <w:p>
            <w:r>
              <w:rPr>
                <w:rFonts w:ascii="Calibri" w:hAnsi="Calibri"/>
                <w:sz w:val="22"/>
              </w:rPr>
              <w:t>Total Revenue ($M)</w:t>
            </w:r>
          </w:p>
        </w:tc>
        <w:tc>
          <w:tcPr>
            <w:tcW w:type="dxa" w:w="1234"/>
          </w:tcPr>
          <w:p>
            <w:r>
              <w:rPr>
                <w:rFonts w:ascii="Calibri" w:hAnsi="Calibri"/>
                <w:sz w:val="22"/>
              </w:rPr>
              <w:t>$3,295</w:t>
            </w:r>
          </w:p>
        </w:tc>
        <w:tc>
          <w:tcPr>
            <w:tcW w:type="dxa" w:w="1234"/>
          </w:tcPr>
          <w:p>
            <w:r>
              <w:rPr>
                <w:rFonts w:ascii="Calibri" w:hAnsi="Calibri"/>
                <w:sz w:val="22"/>
              </w:rPr>
              <w:t>$2,616</w:t>
            </w:r>
          </w:p>
        </w:tc>
        <w:tc>
          <w:tcPr>
            <w:tcW w:type="dxa" w:w="1234"/>
          </w:tcPr>
          <w:p>
            <w:r>
              <w:rPr>
                <w:rFonts w:ascii="Calibri" w:hAnsi="Calibri"/>
                <w:sz w:val="22"/>
              </w:rPr>
              <w:t>$3,385</w:t>
            </w:r>
          </w:p>
        </w:tc>
        <w:tc>
          <w:tcPr>
            <w:tcW w:type="dxa" w:w="1234"/>
          </w:tcPr>
          <w:p>
            <w:r>
              <w:rPr>
                <w:rFonts w:ascii="Calibri" w:hAnsi="Calibri"/>
                <w:sz w:val="22"/>
              </w:rPr>
              <w:t>+29.4%</w:t>
            </w:r>
          </w:p>
        </w:tc>
        <w:tc>
          <w:tcPr>
            <w:tcW w:type="dxa" w:w="1234"/>
          </w:tcPr>
          <w:p>
            <w:r>
              <w:rPr>
                <w:rFonts w:ascii="Calibri" w:hAnsi="Calibri"/>
                <w:sz w:val="22"/>
              </w:rPr>
              <w:t>$3,385</w:t>
            </w:r>
          </w:p>
        </w:tc>
        <w:tc>
          <w:tcPr>
            <w:tcW w:type="dxa" w:w="1234"/>
          </w:tcPr>
          <w:p>
            <w:r>
              <w:rPr>
                <w:rFonts w:ascii="Calibri" w:hAnsi="Calibri"/>
                <w:sz w:val="22"/>
              </w:rPr>
              <w:t>~0% (at midpoint)</w:t>
            </w:r>
          </w:p>
        </w:tc>
      </w:tr>
      <w:tr>
        <w:tc>
          <w:tcPr>
            <w:tcW w:type="dxa" w:w="1234"/>
          </w:tcPr>
          <w:p>
            <w:r>
              <w:rPr>
                <w:rFonts w:ascii="Calibri" w:hAnsi="Calibri"/>
                <w:sz w:val="22"/>
              </w:rPr>
              <w:t>Adj. EBITDA ($M)</w:t>
            </w:r>
          </w:p>
        </w:tc>
        <w:tc>
          <w:tcPr>
            <w:tcW w:type="dxa" w:w="1234"/>
          </w:tcPr>
          <w:p>
            <w:r>
              <w:rPr>
                <w:rFonts w:ascii="Calibri" w:hAnsi="Calibri"/>
                <w:sz w:val="22"/>
              </w:rPr>
              <w:t>$1,304</w:t>
            </w:r>
          </w:p>
        </w:tc>
        <w:tc>
          <w:tcPr>
            <w:tcW w:type="dxa" w:w="1234"/>
          </w:tcPr>
          <w:p>
            <w:r>
              <w:rPr>
                <w:rFonts w:ascii="Calibri" w:hAnsi="Calibri"/>
                <w:sz w:val="22"/>
              </w:rPr>
              <w:t>$1,041</w:t>
            </w:r>
          </w:p>
        </w:tc>
        <w:tc>
          <w:tcPr>
            <w:tcW w:type="dxa" w:w="1234"/>
          </w:tcPr>
          <w:p>
            <w:r>
              <w:rPr>
                <w:rFonts w:ascii="Calibri" w:hAnsi="Calibri"/>
                <w:sz w:val="22"/>
              </w:rPr>
              <w:t>$1,406</w:t>
            </w:r>
          </w:p>
        </w:tc>
        <w:tc>
          <w:tcPr>
            <w:tcW w:type="dxa" w:w="1234"/>
          </w:tcPr>
          <w:p>
            <w:r>
              <w:rPr>
                <w:rFonts w:ascii="Calibri" w:hAnsi="Calibri"/>
                <w:sz w:val="22"/>
              </w:rPr>
              <w:t>+35.0%</w:t>
            </w:r>
          </w:p>
        </w:tc>
        <w:tc>
          <w:tcPr>
            <w:tcW w:type="dxa" w:w="1234"/>
          </w:tcPr>
          <w:p>
            <w:r>
              <w:rPr>
                <w:rFonts w:ascii="Calibri" w:hAnsi="Calibri"/>
                <w:sz w:val="22"/>
              </w:rPr>
              <w:t>$1,405</w:t>
            </w:r>
          </w:p>
        </w:tc>
        <w:tc>
          <w:tcPr>
            <w:tcW w:type="dxa" w:w="1234"/>
          </w:tcPr>
          <w:p>
            <w:r>
              <w:rPr>
                <w:rFonts w:ascii="Calibri" w:hAnsi="Calibri"/>
                <w:sz w:val="22"/>
              </w:rPr>
              <w:t>+0.1%</w:t>
            </w:r>
          </w:p>
        </w:tc>
      </w:tr>
      <w:tr>
        <w:tc>
          <w:tcPr>
            <w:tcW w:type="dxa" w:w="1234"/>
          </w:tcPr>
          <w:p>
            <w:r>
              <w:rPr>
                <w:rFonts w:ascii="Calibri" w:hAnsi="Calibri"/>
                <w:sz w:val="22"/>
              </w:rPr>
              <w:t>Adj. EPS (Diluted, Cont. Ops)</w:t>
            </w:r>
          </w:p>
        </w:tc>
        <w:tc>
          <w:tcPr>
            <w:tcW w:type="dxa" w:w="1234"/>
          </w:tcPr>
          <w:p>
            <w:r>
              <w:rPr>
                <w:rFonts w:ascii="Calibri" w:hAnsi="Calibri"/>
                <w:sz w:val="22"/>
              </w:rPr>
              <w:t>$1.36</w:t>
            </w:r>
          </w:p>
        </w:tc>
        <w:tc>
          <w:tcPr>
            <w:tcW w:type="dxa" w:w="1234"/>
          </w:tcPr>
          <w:p>
            <w:r>
              <w:rPr>
                <w:rFonts w:ascii="Calibri" w:hAnsi="Calibri"/>
                <w:sz w:val="22"/>
              </w:rPr>
              <w:t>$1.37</w:t>
            </w:r>
          </w:p>
        </w:tc>
        <w:tc>
          <w:tcPr>
            <w:tcW w:type="dxa" w:w="1234"/>
          </w:tcPr>
          <w:p>
            <w:r>
              <w:rPr>
                <w:rFonts w:ascii="Calibri" w:hAnsi="Calibri"/>
                <w:sz w:val="22"/>
              </w:rPr>
              <w:t>$1.47</w:t>
            </w:r>
          </w:p>
        </w:tc>
        <w:tc>
          <w:tcPr>
            <w:tcW w:type="dxa" w:w="1234"/>
          </w:tcPr>
          <w:p>
            <w:r>
              <w:rPr>
                <w:rFonts w:ascii="Calibri" w:hAnsi="Calibri"/>
                <w:sz w:val="22"/>
              </w:rPr>
              <w:t>+7.3%</w:t>
            </w:r>
          </w:p>
        </w:tc>
        <w:tc>
          <w:tcPr>
            <w:tcW w:type="dxa" w:w="1234"/>
          </w:tcPr>
          <w:p>
            <w:r>
              <w:rPr>
                <w:rFonts w:ascii="Calibri" w:hAnsi="Calibri"/>
                <w:sz w:val="22"/>
              </w:rPr>
              <w:t>$1.47</w:t>
            </w:r>
          </w:p>
        </w:tc>
        <w:tc>
          <w:tcPr>
            <w:tcW w:type="dxa" w:w="1234"/>
          </w:tcPr>
          <w:p>
            <w:r>
              <w:rPr>
                <w:rFonts w:ascii="Calibri" w:hAnsi="Calibri"/>
                <w:sz w:val="22"/>
              </w:rPr>
              <w:t>~0% (at midpoint)</w:t>
            </w:r>
          </w:p>
        </w:tc>
      </w:tr>
      <w:tr>
        <w:tc>
          <w:tcPr>
            <w:tcW w:type="dxa" w:w="1234"/>
          </w:tcPr>
          <w:p>
            <w:r>
              <w:rPr>
                <w:rFonts w:ascii="Calibri" w:hAnsi="Calibri"/>
                <w:sz w:val="22"/>
              </w:rPr>
              <w:t>Banking Solutions Revenue ($M)</w:t>
            </w:r>
          </w:p>
        </w:tc>
        <w:tc>
          <w:tcPr>
            <w:tcW w:type="dxa" w:w="1234"/>
          </w:tcPr>
          <w:p>
            <w:r>
              <w:rPr>
                <w:rFonts w:ascii="Calibri" w:hAnsi="Calibri"/>
                <w:sz w:val="22"/>
              </w:rPr>
              <w:t>$2,374</w:t>
            </w:r>
          </w:p>
        </w:tc>
        <w:tc>
          <w:tcPr>
            <w:tcW w:type="dxa" w:w="1234"/>
          </w:tcPr>
          <w:p>
            <w:r>
              <w:rPr>
                <w:rFonts w:ascii="Calibri" w:hAnsi="Calibri"/>
                <w:sz w:val="22"/>
              </w:rPr>
              <w:t>$1,808</w:t>
            </w:r>
          </w:p>
        </w:tc>
        <w:tc>
          <w:tcPr>
            <w:tcW w:type="dxa" w:w="1234"/>
          </w:tcPr>
          <w:p>
            <w:r>
              <w:rPr>
                <w:rFonts w:ascii="Calibri" w:hAnsi="Calibri"/>
                <w:sz w:val="22"/>
              </w:rPr>
              <w:t>$2,481</w:t>
            </w:r>
          </w:p>
        </w:tc>
        <w:tc>
          <w:tcPr>
            <w:tcW w:type="dxa" w:w="1234"/>
          </w:tcPr>
          <w:p>
            <w:r>
              <w:rPr>
                <w:rFonts w:ascii="Calibri" w:hAnsi="Calibri"/>
                <w:sz w:val="22"/>
              </w:rPr>
              <w:t>+37.2%</w:t>
            </w:r>
          </w:p>
        </w:tc>
        <w:tc>
          <w:tcPr>
            <w:tcW w:type="dxa" w:w="1234"/>
          </w:tcPr>
          <w:p>
            <w:r>
              <w:rPr>
                <w:rFonts w:ascii="Calibri" w:hAnsi="Calibri"/>
                <w:sz w:val="22"/>
              </w:rPr>
              <w:t>5.5%–6.0% pro forma growth</w:t>
            </w:r>
          </w:p>
        </w:tc>
        <w:tc>
          <w:tcPr>
            <w:tcW w:type="dxa" w:w="1234"/>
          </w:tcPr>
          <w:p>
            <w:r>
              <w:rPr>
                <w:rFonts w:ascii="Calibri" w:hAnsi="Calibri"/>
                <w:sz w:val="22"/>
              </w:rPr>
              <w:t>N/A — pro forma basis not directly comparable</w:t>
            </w:r>
          </w:p>
        </w:tc>
      </w:tr>
      <w:tr>
        <w:tc>
          <w:tcPr>
            <w:tcW w:type="dxa" w:w="1234"/>
          </w:tcPr>
          <w:p>
            <w:r>
              <w:rPr>
                <w:rFonts w:ascii="Calibri" w:hAnsi="Calibri"/>
                <w:sz w:val="22"/>
              </w:rPr>
              <w:t>Capital Markets Revenue ($M)</w:t>
            </w:r>
          </w:p>
        </w:tc>
        <w:tc>
          <w:tcPr>
            <w:tcW w:type="dxa" w:w="1234"/>
          </w:tcPr>
          <w:p>
            <w:r>
              <w:rPr>
                <w:rFonts w:ascii="Calibri" w:hAnsi="Calibri"/>
                <w:sz w:val="22"/>
              </w:rPr>
              <w:t>$823</w:t>
            </w:r>
          </w:p>
        </w:tc>
        <w:tc>
          <w:tcPr>
            <w:tcW w:type="dxa" w:w="1234"/>
          </w:tcPr>
          <w:p>
            <w:r>
              <w:rPr>
                <w:rFonts w:ascii="Calibri" w:hAnsi="Calibri"/>
                <w:sz w:val="22"/>
              </w:rPr>
              <w:t>$765</w:t>
            </w:r>
          </w:p>
        </w:tc>
        <w:tc>
          <w:tcPr>
            <w:tcW w:type="dxa" w:w="1234"/>
          </w:tcPr>
          <w:p>
            <w:r>
              <w:rPr>
                <w:rFonts w:ascii="Calibri" w:hAnsi="Calibri"/>
                <w:sz w:val="22"/>
              </w:rPr>
              <w:t>$814</w:t>
            </w:r>
          </w:p>
        </w:tc>
        <w:tc>
          <w:tcPr>
            <w:tcW w:type="dxa" w:w="1234"/>
          </w:tcPr>
          <w:p>
            <w:r>
              <w:rPr>
                <w:rFonts w:ascii="Calibri" w:hAnsi="Calibri"/>
                <w:sz w:val="22"/>
              </w:rPr>
              <w:t>+6.4%</w:t>
            </w:r>
          </w:p>
        </w:tc>
        <w:tc>
          <w:tcPr>
            <w:tcW w:type="dxa" w:w="1234"/>
          </w:tcPr>
          <w:p>
            <w:r>
              <w:rPr>
                <w:rFonts w:ascii="Calibri" w:hAnsi="Calibri"/>
                <w:sz w:val="22"/>
              </w:rPr>
              <w:t>3.0%–4.0% pro forma growth</w:t>
            </w:r>
          </w:p>
        </w:tc>
        <w:tc>
          <w:tcPr>
            <w:tcW w:type="dxa" w:w="1234"/>
          </w:tcPr>
          <w:p>
            <w:r>
              <w:rPr>
                <w:rFonts w:ascii="Calibri" w:hAnsi="Calibri"/>
                <w:sz w:val="22"/>
              </w:rPr>
              <w:t>N/A — pro forma basis not directly comparable</w:t>
            </w:r>
          </w:p>
        </w:tc>
      </w:tr>
      <w:tr>
        <w:tc>
          <w:tcPr>
            <w:tcW w:type="dxa" w:w="1234"/>
          </w:tcPr>
          <w:p>
            <w:r>
              <w:rPr>
                <w:rFonts w:ascii="Calibri" w:hAnsi="Calibri"/>
                <w:sz w:val="22"/>
              </w:rPr>
              <w:t>Free Cash Flow ($M)</w:t>
            </w:r>
          </w:p>
        </w:tc>
        <w:tc>
          <w:tcPr>
            <w:tcW w:type="dxa" w:w="1234"/>
          </w:tcPr>
          <w:p>
            <w:r>
              <w:rPr>
                <w:rFonts w:ascii="Calibri" w:hAnsi="Calibri"/>
                <w:sz w:val="22"/>
              </w:rPr>
              <w:t>$474</w:t>
            </w:r>
          </w:p>
        </w:tc>
        <w:tc>
          <w:tcPr>
            <w:tcW w:type="dxa" w:w="1234"/>
          </w:tcPr>
          <w:p>
            <w:r>
              <w:rPr>
                <w:rFonts w:ascii="Calibri" w:hAnsi="Calibri"/>
                <w:sz w:val="22"/>
              </w:rPr>
              <w:t>$293</w:t>
            </w:r>
          </w:p>
        </w:tc>
        <w:tc>
          <w:tcPr>
            <w:tcW w:type="dxa" w:w="1234"/>
          </w:tcPr>
          <w:p>
            <w:r>
              <w:rPr>
                <w:rFonts w:ascii="Calibri" w:hAnsi="Calibri"/>
                <w:sz w:val="22"/>
              </w:rPr>
              <w:t>$525</w:t>
            </w:r>
          </w:p>
        </w:tc>
        <w:tc>
          <w:tcPr>
            <w:tcW w:type="dxa" w:w="1234"/>
          </w:tcPr>
          <w:p>
            <w:r>
              <w:rPr>
                <w:rFonts w:ascii="Calibri" w:hAnsi="Calibri"/>
                <w:sz w:val="22"/>
              </w:rPr>
              <w:t>+79.2%</w:t>
            </w:r>
          </w:p>
        </w:tc>
        <w:tc>
          <w:tcPr>
            <w:tcW w:type="dxa" w:w="1234"/>
          </w:tcPr>
          <w:p>
            <w:r>
              <w:rPr>
                <w:rFonts w:ascii="Calibri" w:hAnsi="Calibri"/>
                <w:sz w:val="22"/>
              </w:rPr>
              <w:t>FY target $2.05–$2.15B</w:t>
            </w:r>
          </w:p>
        </w:tc>
        <w:tc>
          <w:tcPr>
            <w:tcW w:type="dxa" w:w="1234"/>
          </w:tcPr>
          <w:p>
            <w:r>
              <w:rPr>
                <w:rFonts w:ascii="Calibri" w:hAnsi="Calibri"/>
                <w:sz w:val="22"/>
              </w:rPr>
              <w:t>N/A — quarterly not guided</w:t>
            </w:r>
          </w:p>
        </w:tc>
      </w:tr>
    </w:tbl>
    <w:p>
      <w:r>
        <w:rPr>
          <w:rFonts w:ascii="Calibri" w:hAnsi="Calibri"/>
          <w:i/>
          <w:color w:val="525866"/>
          <w:sz w:val="22"/>
        </w:rPr>
        <w:t>Source: Visible Alpha consensus and actuals data. Q2 2026 guidance midpoints from FIS Q1 2026 earnings release (May 8, 2026). YoY comparisons reflect reported figures; note that Banking and Capital Markets revenue are not directly comparable YoY due to the Total Issuer Solutions acquisition (closed January 9, 2026) adding to the Banking segment from Q1 2026 onward. Pro forma growth rates (which adjust for the acquisition) are the appropriate comparisons for segment performance vs. guidance.</w:t>
      </w:r>
    </w:p>
    <w:p>
      <w:pPr>
        <w:pStyle w:val="Heading3"/>
      </w:pPr>
      <w:r>
        <w:rPr>
          <w:rFonts w:ascii="Calibri" w:hAnsi="Calibri"/>
          <w:b/>
          <w:color w:val="3B4259"/>
          <w:sz w:val="24"/>
        </w:rPr>
        <w:t>Table 2 — Beat/Miss History (Last 8 Quarters, Top 2 KPIs)</w:t>
      </w:r>
    </w:p>
    <w:p>
      <w:pPr>
        <w:pStyle w:val="Heading4"/>
      </w:pPr>
      <w:r>
        <w:rPr>
          <w:rFonts w:ascii="Calibri" w:hAnsi="Calibri"/>
          <w:b/>
          <w:color w:val="3B4259"/>
          <w:sz w:val="22"/>
        </w:rPr>
        <w:t>KPI 1: Total Revenue</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Quarter</w:t>
            </w:r>
          </w:p>
        </w:tc>
        <w:tc>
          <w:tcPr>
            <w:tcW w:type="dxa" w:w="1728"/>
            <w:shd w:val="clear" w:color="auto" w:fill="3B4259"/>
          </w:tcPr>
          <w:p>
            <w:r>
              <w:rPr>
                <w:rFonts w:ascii="Calibri" w:hAnsi="Calibri"/>
                <w:b/>
                <w:color w:val="FFFFFF"/>
                <w:sz w:val="22"/>
              </w:rPr>
              <w:t>Reported ($M)</w:t>
            </w:r>
          </w:p>
        </w:tc>
        <w:tc>
          <w:tcPr>
            <w:tcW w:type="dxa" w:w="1728"/>
            <w:shd w:val="clear" w:color="auto" w:fill="3B4259"/>
          </w:tcPr>
          <w:p>
            <w:r>
              <w:rPr>
                <w:rFonts w:ascii="Calibri" w:hAnsi="Calibri"/>
                <w:b/>
                <w:color w:val="FFFFFF"/>
                <w:sz w:val="22"/>
              </w:rPr>
              <w:t>Consensus ($M)</w:t>
            </w:r>
          </w:p>
        </w:tc>
        <w:tc>
          <w:tcPr>
            <w:tcW w:type="dxa" w:w="1728"/>
            <w:shd w:val="clear" w:color="auto" w:fill="3B4259"/>
          </w:tcPr>
          <w:p>
            <w:r>
              <w:rPr>
                <w:rFonts w:ascii="Calibri" w:hAnsi="Calibri"/>
                <w:b/>
                <w:color w:val="FFFFFF"/>
                <w:sz w:val="22"/>
              </w:rPr>
              <w:t>Surprise %</w:t>
            </w:r>
          </w:p>
        </w:tc>
        <w:tc>
          <w:tcPr>
            <w:tcW w:type="dxa" w:w="1728"/>
            <w:shd w:val="clear" w:color="auto" w:fill="3B4259"/>
          </w:tcPr>
          <w:p>
            <w:r>
              <w:rPr>
                <w:rFonts w:ascii="Calibri" w:hAnsi="Calibri"/>
                <w:b/>
                <w:color w:val="FFFFFF"/>
                <w:sz w:val="22"/>
              </w:rPr>
              <w:t>Result</w:t>
            </w:r>
          </w:p>
        </w:tc>
      </w:tr>
      <w:tr>
        <w:tc>
          <w:tcPr>
            <w:tcW w:type="dxa" w:w="1728"/>
          </w:tcPr>
          <w:p>
            <w:r>
              <w:rPr>
                <w:rFonts w:ascii="Calibri" w:hAnsi="Calibri"/>
                <w:sz w:val="22"/>
              </w:rPr>
              <w:t>Q1 2026</w:t>
            </w:r>
          </w:p>
        </w:tc>
        <w:tc>
          <w:tcPr>
            <w:tcW w:type="dxa" w:w="1728"/>
          </w:tcPr>
          <w:p>
            <w:r>
              <w:rPr>
                <w:rFonts w:ascii="Calibri" w:hAnsi="Calibri"/>
                <w:sz w:val="22"/>
              </w:rPr>
              <w:t>$3,295</w:t>
            </w:r>
          </w:p>
        </w:tc>
        <w:tc>
          <w:tcPr>
            <w:tcW w:type="dxa" w:w="1728"/>
          </w:tcPr>
          <w:p>
            <w:r>
              <w:rPr>
                <w:rFonts w:ascii="Calibri" w:hAnsi="Calibri"/>
                <w:sz w:val="22"/>
              </w:rPr>
              <w:t>$3,282</w:t>
            </w:r>
          </w:p>
        </w:tc>
        <w:tc>
          <w:tcPr>
            <w:tcW w:type="dxa" w:w="1728"/>
          </w:tcPr>
          <w:p>
            <w:r>
              <w:rPr>
                <w:rFonts w:ascii="Calibri" w:hAnsi="Calibri"/>
                <w:sz w:val="22"/>
              </w:rPr>
              <w:t>+0.4%</w:t>
            </w:r>
          </w:p>
        </w:tc>
        <w:tc>
          <w:tcPr>
            <w:tcW w:type="dxa" w:w="1728"/>
          </w:tcPr>
          <w:p>
            <w:r>
              <w:rPr>
                <w:rFonts w:ascii="Calibri" w:hAnsi="Calibri"/>
                <w:b/>
                <w:color w:val="30A46C"/>
                <w:sz w:val="22"/>
              </w:rPr>
              <w:t>Beat</w:t>
            </w:r>
          </w:p>
        </w:tc>
      </w:tr>
      <w:tr>
        <w:tc>
          <w:tcPr>
            <w:tcW w:type="dxa" w:w="1728"/>
          </w:tcPr>
          <w:p>
            <w:r>
              <w:rPr>
                <w:rFonts w:ascii="Calibri" w:hAnsi="Calibri"/>
                <w:sz w:val="22"/>
              </w:rPr>
              <w:t>Q4 2025</w:t>
            </w:r>
          </w:p>
        </w:tc>
        <w:tc>
          <w:tcPr>
            <w:tcW w:type="dxa" w:w="1728"/>
          </w:tcPr>
          <w:p>
            <w:r>
              <w:rPr>
                <w:rFonts w:ascii="Calibri" w:hAnsi="Calibri"/>
                <w:sz w:val="22"/>
              </w:rPr>
              <w:t>$2,812</w:t>
            </w:r>
          </w:p>
        </w:tc>
        <w:tc>
          <w:tcPr>
            <w:tcW w:type="dxa" w:w="1728"/>
          </w:tcPr>
          <w:p>
            <w:r>
              <w:rPr>
                <w:rFonts w:ascii="Calibri" w:hAnsi="Calibri"/>
                <w:sz w:val="22"/>
              </w:rPr>
              <w:t>$2,747</w:t>
            </w:r>
          </w:p>
        </w:tc>
        <w:tc>
          <w:tcPr>
            <w:tcW w:type="dxa" w:w="1728"/>
          </w:tcPr>
          <w:p>
            <w:r>
              <w:rPr>
                <w:rFonts w:ascii="Calibri" w:hAnsi="Calibri"/>
                <w:sz w:val="22"/>
              </w:rPr>
              <w:t>+2.4%</w:t>
            </w:r>
          </w:p>
        </w:tc>
        <w:tc>
          <w:tcPr>
            <w:tcW w:type="dxa" w:w="1728"/>
          </w:tcPr>
          <w:p>
            <w:r>
              <w:rPr>
                <w:rFonts w:ascii="Calibri" w:hAnsi="Calibri"/>
                <w:b/>
                <w:color w:val="30A46C"/>
                <w:sz w:val="22"/>
              </w:rPr>
              <w:t>Beat</w:t>
            </w:r>
          </w:p>
        </w:tc>
      </w:tr>
      <w:tr>
        <w:tc>
          <w:tcPr>
            <w:tcW w:type="dxa" w:w="1728"/>
          </w:tcPr>
          <w:p>
            <w:r>
              <w:rPr>
                <w:rFonts w:ascii="Calibri" w:hAnsi="Calibri"/>
                <w:sz w:val="22"/>
              </w:rPr>
              <w:t>Q3 2025</w:t>
            </w:r>
          </w:p>
        </w:tc>
        <w:tc>
          <w:tcPr>
            <w:tcW w:type="dxa" w:w="1728"/>
          </w:tcPr>
          <w:p>
            <w:r>
              <w:rPr>
                <w:rFonts w:ascii="Calibri" w:hAnsi="Calibri"/>
                <w:sz w:val="22"/>
              </w:rPr>
              <w:t>$2,717</w:t>
            </w:r>
          </w:p>
        </w:tc>
        <w:tc>
          <w:tcPr>
            <w:tcW w:type="dxa" w:w="1728"/>
          </w:tcPr>
          <w:p>
            <w:r>
              <w:rPr>
                <w:rFonts w:ascii="Calibri" w:hAnsi="Calibri"/>
                <w:sz w:val="22"/>
              </w:rPr>
              <w:t>$2,660</w:t>
            </w:r>
          </w:p>
        </w:tc>
        <w:tc>
          <w:tcPr>
            <w:tcW w:type="dxa" w:w="1728"/>
          </w:tcPr>
          <w:p>
            <w:r>
              <w:rPr>
                <w:rFonts w:ascii="Calibri" w:hAnsi="Calibri"/>
                <w:sz w:val="22"/>
              </w:rPr>
              <w:t>+2.1%</w:t>
            </w:r>
          </w:p>
        </w:tc>
        <w:tc>
          <w:tcPr>
            <w:tcW w:type="dxa" w:w="1728"/>
          </w:tcPr>
          <w:p>
            <w:r>
              <w:rPr>
                <w:rFonts w:ascii="Calibri" w:hAnsi="Calibri"/>
                <w:b/>
                <w:color w:val="30A46C"/>
                <w:sz w:val="22"/>
              </w:rPr>
              <w:t>Beat</w:t>
            </w:r>
          </w:p>
        </w:tc>
      </w:tr>
      <w:tr>
        <w:tc>
          <w:tcPr>
            <w:tcW w:type="dxa" w:w="1728"/>
          </w:tcPr>
          <w:p>
            <w:r>
              <w:rPr>
                <w:rFonts w:ascii="Calibri" w:hAnsi="Calibri"/>
                <w:sz w:val="22"/>
              </w:rPr>
              <w:t>Q2 2025</w:t>
            </w:r>
          </w:p>
        </w:tc>
        <w:tc>
          <w:tcPr>
            <w:tcW w:type="dxa" w:w="1728"/>
          </w:tcPr>
          <w:p>
            <w:r>
              <w:rPr>
                <w:rFonts w:ascii="Calibri" w:hAnsi="Calibri"/>
                <w:sz w:val="22"/>
              </w:rPr>
              <w:t>$2,616</w:t>
            </w:r>
          </w:p>
        </w:tc>
        <w:tc>
          <w:tcPr>
            <w:tcW w:type="dxa" w:w="1728"/>
          </w:tcPr>
          <w:p>
            <w:r>
              <w:rPr>
                <w:rFonts w:ascii="Calibri" w:hAnsi="Calibri"/>
                <w:sz w:val="22"/>
              </w:rPr>
              <w:t>$2,584</w:t>
            </w:r>
          </w:p>
        </w:tc>
        <w:tc>
          <w:tcPr>
            <w:tcW w:type="dxa" w:w="1728"/>
          </w:tcPr>
          <w:p>
            <w:r>
              <w:rPr>
                <w:rFonts w:ascii="Calibri" w:hAnsi="Calibri"/>
                <w:sz w:val="22"/>
              </w:rPr>
              <w:t>+1.2%</w:t>
            </w:r>
          </w:p>
        </w:tc>
        <w:tc>
          <w:tcPr>
            <w:tcW w:type="dxa" w:w="1728"/>
          </w:tcPr>
          <w:p>
            <w:r>
              <w:rPr>
                <w:rFonts w:ascii="Calibri" w:hAnsi="Calibri"/>
                <w:b/>
                <w:color w:val="30A46C"/>
                <w:sz w:val="22"/>
              </w:rPr>
              <w:t>Beat</w:t>
            </w:r>
          </w:p>
        </w:tc>
      </w:tr>
      <w:tr>
        <w:tc>
          <w:tcPr>
            <w:tcW w:type="dxa" w:w="1728"/>
          </w:tcPr>
          <w:p>
            <w:r>
              <w:rPr>
                <w:rFonts w:ascii="Calibri" w:hAnsi="Calibri"/>
                <w:sz w:val="22"/>
              </w:rPr>
              <w:t>Q1 2025</w:t>
            </w:r>
          </w:p>
        </w:tc>
        <w:tc>
          <w:tcPr>
            <w:tcW w:type="dxa" w:w="1728"/>
          </w:tcPr>
          <w:p>
            <w:r>
              <w:rPr>
                <w:rFonts w:ascii="Calibri" w:hAnsi="Calibri"/>
                <w:sz w:val="22"/>
              </w:rPr>
              <w:t>$2,532</w:t>
            </w:r>
          </w:p>
        </w:tc>
        <w:tc>
          <w:tcPr>
            <w:tcW w:type="dxa" w:w="1728"/>
          </w:tcPr>
          <w:p>
            <w:r>
              <w:rPr>
                <w:rFonts w:ascii="Calibri" w:hAnsi="Calibri"/>
                <w:sz w:val="22"/>
              </w:rPr>
              <w:t>$2,508</w:t>
            </w:r>
          </w:p>
        </w:tc>
        <w:tc>
          <w:tcPr>
            <w:tcW w:type="dxa" w:w="1728"/>
          </w:tcPr>
          <w:p>
            <w:r>
              <w:rPr>
                <w:rFonts w:ascii="Calibri" w:hAnsi="Calibri"/>
                <w:sz w:val="22"/>
              </w:rPr>
              <w:t>+0.9%</w:t>
            </w:r>
          </w:p>
        </w:tc>
        <w:tc>
          <w:tcPr>
            <w:tcW w:type="dxa" w:w="1728"/>
          </w:tcPr>
          <w:p>
            <w:r>
              <w:rPr>
                <w:rFonts w:ascii="Calibri" w:hAnsi="Calibri"/>
                <w:b/>
                <w:color w:val="30A46C"/>
                <w:sz w:val="22"/>
              </w:rPr>
              <w:t>Beat</w:t>
            </w:r>
          </w:p>
        </w:tc>
      </w:tr>
      <w:tr>
        <w:tc>
          <w:tcPr>
            <w:tcW w:type="dxa" w:w="1728"/>
          </w:tcPr>
          <w:p>
            <w:r>
              <w:rPr>
                <w:rFonts w:ascii="Calibri" w:hAnsi="Calibri"/>
                <w:sz w:val="22"/>
              </w:rPr>
              <w:t>Q4 2024</w:t>
            </w:r>
          </w:p>
        </w:tc>
        <w:tc>
          <w:tcPr>
            <w:tcW w:type="dxa" w:w="1728"/>
          </w:tcPr>
          <w:p>
            <w:r>
              <w:rPr>
                <w:rFonts w:ascii="Calibri" w:hAnsi="Calibri"/>
                <w:sz w:val="22"/>
              </w:rPr>
              <w:t>$2,599</w:t>
            </w:r>
          </w:p>
        </w:tc>
        <w:tc>
          <w:tcPr>
            <w:tcW w:type="dxa" w:w="1728"/>
          </w:tcPr>
          <w:p>
            <w:r>
              <w:rPr>
                <w:rFonts w:ascii="Calibri" w:hAnsi="Calibri"/>
                <w:sz w:val="22"/>
              </w:rPr>
              <w:t>$2,633</w:t>
            </w:r>
          </w:p>
        </w:tc>
        <w:tc>
          <w:tcPr>
            <w:tcW w:type="dxa" w:w="1728"/>
          </w:tcPr>
          <w:p>
            <w:r>
              <w:rPr>
                <w:rFonts w:ascii="Calibri" w:hAnsi="Calibri"/>
                <w:sz w:val="22"/>
              </w:rPr>
              <w:t>-1.3%</w:t>
            </w:r>
          </w:p>
        </w:tc>
        <w:tc>
          <w:tcPr>
            <w:tcW w:type="dxa" w:w="1728"/>
          </w:tcPr>
          <w:p>
            <w:r>
              <w:rPr>
                <w:rFonts w:ascii="Calibri" w:hAnsi="Calibri"/>
                <w:b/>
                <w:color w:val="E5484D"/>
                <w:sz w:val="22"/>
              </w:rPr>
              <w:t>Miss</w:t>
            </w:r>
          </w:p>
        </w:tc>
      </w:tr>
      <w:tr>
        <w:tc>
          <w:tcPr>
            <w:tcW w:type="dxa" w:w="1728"/>
          </w:tcPr>
          <w:p>
            <w:r>
              <w:rPr>
                <w:rFonts w:ascii="Calibri" w:hAnsi="Calibri"/>
                <w:sz w:val="22"/>
              </w:rPr>
              <w:t>Q3 2024</w:t>
            </w:r>
          </w:p>
        </w:tc>
        <w:tc>
          <w:tcPr>
            <w:tcW w:type="dxa" w:w="1728"/>
          </w:tcPr>
          <w:p>
            <w:r>
              <w:rPr>
                <w:rFonts w:ascii="Calibri" w:hAnsi="Calibri"/>
                <w:sz w:val="22"/>
              </w:rPr>
              <w:t>$2,570</w:t>
            </w:r>
          </w:p>
        </w:tc>
        <w:tc>
          <w:tcPr>
            <w:tcW w:type="dxa" w:w="1728"/>
          </w:tcPr>
          <w:p>
            <w:r>
              <w:rPr>
                <w:rFonts w:ascii="Calibri" w:hAnsi="Calibri"/>
                <w:sz w:val="22"/>
              </w:rPr>
              <w:t>$2,561</w:t>
            </w:r>
          </w:p>
        </w:tc>
        <w:tc>
          <w:tcPr>
            <w:tcW w:type="dxa" w:w="1728"/>
          </w:tcPr>
          <w:p>
            <w:r>
              <w:rPr>
                <w:rFonts w:ascii="Calibri" w:hAnsi="Calibri"/>
                <w:sz w:val="22"/>
              </w:rPr>
              <w:t>+0.4%</w:t>
            </w:r>
          </w:p>
        </w:tc>
        <w:tc>
          <w:tcPr>
            <w:tcW w:type="dxa" w:w="1728"/>
          </w:tcPr>
          <w:p>
            <w:r>
              <w:rPr>
                <w:rFonts w:ascii="Calibri" w:hAnsi="Calibri"/>
                <w:b/>
                <w:color w:val="30A46C"/>
                <w:sz w:val="22"/>
              </w:rPr>
              <w:t>Beat</w:t>
            </w:r>
          </w:p>
        </w:tc>
      </w:tr>
      <w:tr>
        <w:tc>
          <w:tcPr>
            <w:tcW w:type="dxa" w:w="1728"/>
          </w:tcPr>
          <w:p>
            <w:r>
              <w:rPr>
                <w:rFonts w:ascii="Calibri" w:hAnsi="Calibri"/>
                <w:sz w:val="22"/>
              </w:rPr>
              <w:t>Q2 2024</w:t>
            </w:r>
          </w:p>
        </w:tc>
        <w:tc>
          <w:tcPr>
            <w:tcW w:type="dxa" w:w="1728"/>
          </w:tcPr>
          <w:p>
            <w:r>
              <w:rPr>
                <w:rFonts w:ascii="Calibri" w:hAnsi="Calibri"/>
                <w:sz w:val="22"/>
              </w:rPr>
              <w:t>N/A — not in VA for this window</w:t>
            </w:r>
          </w:p>
        </w:tc>
        <w:tc>
          <w:tcPr>
            <w:tcW w:type="dxa" w:w="1728"/>
          </w:tcPr>
          <w:p>
            <w:r>
              <w:rPr>
                <w:rFonts w:ascii="Calibri" w:hAnsi="Calibri"/>
                <w:sz w:val="22"/>
              </w:rPr>
              <w:t>N/A</w:t>
            </w:r>
          </w:p>
        </w:tc>
        <w:tc>
          <w:tcPr>
            <w:tcW w:type="dxa" w:w="1728"/>
          </w:tcPr>
          <w:p>
            <w:r>
              <w:rPr>
                <w:rFonts w:ascii="Calibri" w:hAnsi="Calibri"/>
                <w:sz w:val="22"/>
              </w:rPr>
              <w:t>N/A</w:t>
            </w:r>
          </w:p>
        </w:tc>
        <w:tc>
          <w:tcPr>
            <w:tcW w:type="dxa" w:w="1728"/>
          </w:tcPr>
          <w:p>
            <w:r>
              <w:rPr>
                <w:rFonts w:ascii="Calibri" w:hAnsi="Calibri"/>
                <w:sz w:val="22"/>
              </w:rPr>
              <w:t>N/A</w:t>
            </w:r>
          </w:p>
        </w:tc>
      </w:tr>
    </w:tbl>
    <w:p>
      <w:pPr>
        <w:pStyle w:val="Heading4"/>
      </w:pPr>
      <w:r>
        <w:rPr>
          <w:rFonts w:ascii="Calibri" w:hAnsi="Calibri"/>
          <w:b/>
          <w:color w:val="3B4259"/>
          <w:sz w:val="22"/>
        </w:rPr>
        <w:t>KPI 2: Adjusted EPS (Diluted, Continuing Operations)</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Quarter</w:t>
            </w:r>
          </w:p>
        </w:tc>
        <w:tc>
          <w:tcPr>
            <w:tcW w:type="dxa" w:w="1728"/>
            <w:shd w:val="clear" w:color="auto" w:fill="3B4259"/>
          </w:tcPr>
          <w:p>
            <w:r>
              <w:rPr>
                <w:rFonts w:ascii="Calibri" w:hAnsi="Calibri"/>
                <w:b/>
                <w:color w:val="FFFFFF"/>
                <w:sz w:val="22"/>
              </w:rPr>
              <w:t>Reported ($)</w:t>
            </w:r>
          </w:p>
        </w:tc>
        <w:tc>
          <w:tcPr>
            <w:tcW w:type="dxa" w:w="1728"/>
            <w:shd w:val="clear" w:color="auto" w:fill="3B4259"/>
          </w:tcPr>
          <w:p>
            <w:r>
              <w:rPr>
                <w:rFonts w:ascii="Calibri" w:hAnsi="Calibri"/>
                <w:b/>
                <w:color w:val="FFFFFF"/>
                <w:sz w:val="22"/>
              </w:rPr>
              <w:t>Consensus ($)</w:t>
            </w:r>
          </w:p>
        </w:tc>
        <w:tc>
          <w:tcPr>
            <w:tcW w:type="dxa" w:w="1728"/>
            <w:shd w:val="clear" w:color="auto" w:fill="3B4259"/>
          </w:tcPr>
          <w:p>
            <w:r>
              <w:rPr>
                <w:rFonts w:ascii="Calibri" w:hAnsi="Calibri"/>
                <w:b/>
                <w:color w:val="FFFFFF"/>
                <w:sz w:val="22"/>
              </w:rPr>
              <w:t>Surprise %</w:t>
            </w:r>
          </w:p>
        </w:tc>
        <w:tc>
          <w:tcPr>
            <w:tcW w:type="dxa" w:w="1728"/>
            <w:shd w:val="clear" w:color="auto" w:fill="3B4259"/>
          </w:tcPr>
          <w:p>
            <w:r>
              <w:rPr>
                <w:rFonts w:ascii="Calibri" w:hAnsi="Calibri"/>
                <w:b/>
                <w:color w:val="FFFFFF"/>
                <w:sz w:val="22"/>
              </w:rPr>
              <w:t>Result</w:t>
            </w:r>
          </w:p>
        </w:tc>
      </w:tr>
      <w:tr>
        <w:tc>
          <w:tcPr>
            <w:tcW w:type="dxa" w:w="1728"/>
          </w:tcPr>
          <w:p>
            <w:r>
              <w:rPr>
                <w:rFonts w:ascii="Calibri" w:hAnsi="Calibri"/>
                <w:sz w:val="22"/>
              </w:rPr>
              <w:t>Q1 2026</w:t>
            </w:r>
          </w:p>
        </w:tc>
        <w:tc>
          <w:tcPr>
            <w:tcW w:type="dxa" w:w="1728"/>
          </w:tcPr>
          <w:p>
            <w:r>
              <w:rPr>
                <w:rFonts w:ascii="Calibri" w:hAnsi="Calibri"/>
                <w:sz w:val="22"/>
              </w:rPr>
              <w:t>$1.36</w:t>
            </w:r>
          </w:p>
        </w:tc>
        <w:tc>
          <w:tcPr>
            <w:tcW w:type="dxa" w:w="1728"/>
          </w:tcPr>
          <w:p>
            <w:r>
              <w:rPr>
                <w:rFonts w:ascii="Calibri" w:hAnsi="Calibri"/>
                <w:sz w:val="22"/>
              </w:rPr>
              <w:t>$1.29</w:t>
            </w:r>
          </w:p>
        </w:tc>
        <w:tc>
          <w:tcPr>
            <w:tcW w:type="dxa" w:w="1728"/>
          </w:tcPr>
          <w:p>
            <w:r>
              <w:rPr>
                <w:rFonts w:ascii="Calibri" w:hAnsi="Calibri"/>
                <w:sz w:val="22"/>
              </w:rPr>
              <w:t>+5.4%</w:t>
            </w:r>
          </w:p>
        </w:tc>
        <w:tc>
          <w:tcPr>
            <w:tcW w:type="dxa" w:w="1728"/>
          </w:tcPr>
          <w:p>
            <w:r>
              <w:rPr>
                <w:rFonts w:ascii="Calibri" w:hAnsi="Calibri"/>
                <w:b/>
                <w:color w:val="30A46C"/>
                <w:sz w:val="22"/>
              </w:rPr>
              <w:t>Beat</w:t>
            </w:r>
          </w:p>
        </w:tc>
      </w:tr>
      <w:tr>
        <w:tc>
          <w:tcPr>
            <w:tcW w:type="dxa" w:w="1728"/>
          </w:tcPr>
          <w:p>
            <w:r>
              <w:rPr>
                <w:rFonts w:ascii="Calibri" w:hAnsi="Calibri"/>
                <w:sz w:val="22"/>
              </w:rPr>
              <w:t>Q4 2025</w:t>
            </w:r>
          </w:p>
        </w:tc>
        <w:tc>
          <w:tcPr>
            <w:tcW w:type="dxa" w:w="1728"/>
          </w:tcPr>
          <w:p>
            <w:r>
              <w:rPr>
                <w:rFonts w:ascii="Calibri" w:hAnsi="Calibri"/>
                <w:sz w:val="22"/>
              </w:rPr>
              <w:t>$1.68</w:t>
            </w:r>
          </w:p>
        </w:tc>
        <w:tc>
          <w:tcPr>
            <w:tcW w:type="dxa" w:w="1728"/>
          </w:tcPr>
          <w:p>
            <w:r>
              <w:rPr>
                <w:rFonts w:ascii="Calibri" w:hAnsi="Calibri"/>
                <w:sz w:val="22"/>
              </w:rPr>
              <w:t>$1.69</w:t>
            </w:r>
          </w:p>
        </w:tc>
        <w:tc>
          <w:tcPr>
            <w:tcW w:type="dxa" w:w="1728"/>
          </w:tcPr>
          <w:p>
            <w:r>
              <w:rPr>
                <w:rFonts w:ascii="Calibri" w:hAnsi="Calibri"/>
                <w:sz w:val="22"/>
              </w:rPr>
              <w:t>-0.6%</w:t>
            </w:r>
          </w:p>
        </w:tc>
        <w:tc>
          <w:tcPr>
            <w:tcW w:type="dxa" w:w="1728"/>
          </w:tcPr>
          <w:p>
            <w:r>
              <w:rPr>
                <w:rFonts w:ascii="Calibri" w:hAnsi="Calibri"/>
                <w:b/>
                <w:color w:val="E5484D"/>
                <w:sz w:val="22"/>
              </w:rPr>
              <w:t>In-Line / Slight Miss</w:t>
            </w:r>
          </w:p>
        </w:tc>
      </w:tr>
      <w:tr>
        <w:tc>
          <w:tcPr>
            <w:tcW w:type="dxa" w:w="1728"/>
          </w:tcPr>
          <w:p>
            <w:r>
              <w:rPr>
                <w:rFonts w:ascii="Calibri" w:hAnsi="Calibri"/>
                <w:sz w:val="22"/>
              </w:rPr>
              <w:t>Q3 2025</w:t>
            </w:r>
          </w:p>
        </w:tc>
        <w:tc>
          <w:tcPr>
            <w:tcW w:type="dxa" w:w="1728"/>
          </w:tcPr>
          <w:p>
            <w:r>
              <w:rPr>
                <w:rFonts w:ascii="Calibri" w:hAnsi="Calibri"/>
                <w:sz w:val="22"/>
              </w:rPr>
              <w:t>$1.51</w:t>
            </w:r>
          </w:p>
        </w:tc>
        <w:tc>
          <w:tcPr>
            <w:tcW w:type="dxa" w:w="1728"/>
          </w:tcPr>
          <w:p>
            <w:r>
              <w:rPr>
                <w:rFonts w:ascii="Calibri" w:hAnsi="Calibri"/>
                <w:sz w:val="22"/>
              </w:rPr>
              <w:t>$1.49</w:t>
            </w:r>
          </w:p>
        </w:tc>
        <w:tc>
          <w:tcPr>
            <w:tcW w:type="dxa" w:w="1728"/>
          </w:tcPr>
          <w:p>
            <w:r>
              <w:rPr>
                <w:rFonts w:ascii="Calibri" w:hAnsi="Calibri"/>
                <w:sz w:val="22"/>
              </w:rPr>
              <w:t>+1.3%</w:t>
            </w:r>
          </w:p>
        </w:tc>
        <w:tc>
          <w:tcPr>
            <w:tcW w:type="dxa" w:w="1728"/>
          </w:tcPr>
          <w:p>
            <w:r>
              <w:rPr>
                <w:rFonts w:ascii="Calibri" w:hAnsi="Calibri"/>
                <w:b/>
                <w:color w:val="30A46C"/>
                <w:sz w:val="22"/>
              </w:rPr>
              <w:t>Beat</w:t>
            </w:r>
          </w:p>
        </w:tc>
      </w:tr>
      <w:tr>
        <w:tc>
          <w:tcPr>
            <w:tcW w:type="dxa" w:w="1728"/>
          </w:tcPr>
          <w:p>
            <w:r>
              <w:rPr>
                <w:rFonts w:ascii="Calibri" w:hAnsi="Calibri"/>
                <w:sz w:val="22"/>
              </w:rPr>
              <w:t>Q2 2025</w:t>
            </w:r>
          </w:p>
        </w:tc>
        <w:tc>
          <w:tcPr>
            <w:tcW w:type="dxa" w:w="1728"/>
          </w:tcPr>
          <w:p>
            <w:r>
              <w:rPr>
                <w:rFonts w:ascii="Calibri" w:hAnsi="Calibri"/>
                <w:sz w:val="22"/>
              </w:rPr>
              <w:t>$1.37</w:t>
            </w:r>
          </w:p>
        </w:tc>
        <w:tc>
          <w:tcPr>
            <w:tcW w:type="dxa" w:w="1728"/>
          </w:tcPr>
          <w:p>
            <w:r>
              <w:rPr>
                <w:rFonts w:ascii="Calibri" w:hAnsi="Calibri"/>
                <w:sz w:val="22"/>
              </w:rPr>
              <w:t>$1.36</w:t>
            </w:r>
          </w:p>
        </w:tc>
        <w:tc>
          <w:tcPr>
            <w:tcW w:type="dxa" w:w="1728"/>
          </w:tcPr>
          <w:p>
            <w:r>
              <w:rPr>
                <w:rFonts w:ascii="Calibri" w:hAnsi="Calibri"/>
                <w:sz w:val="22"/>
              </w:rPr>
              <w:t>+0.7%</w:t>
            </w:r>
          </w:p>
        </w:tc>
        <w:tc>
          <w:tcPr>
            <w:tcW w:type="dxa" w:w="1728"/>
          </w:tcPr>
          <w:p>
            <w:r>
              <w:rPr>
                <w:rFonts w:ascii="Calibri" w:hAnsi="Calibri"/>
                <w:b/>
                <w:color w:val="30A46C"/>
                <w:sz w:val="22"/>
              </w:rPr>
              <w:t>Beat</w:t>
            </w:r>
          </w:p>
        </w:tc>
      </w:tr>
      <w:tr>
        <w:tc>
          <w:tcPr>
            <w:tcW w:type="dxa" w:w="1728"/>
          </w:tcPr>
          <w:p>
            <w:r>
              <w:rPr>
                <w:rFonts w:ascii="Calibri" w:hAnsi="Calibri"/>
                <w:sz w:val="22"/>
              </w:rPr>
              <w:t>Q1 2025</w:t>
            </w:r>
          </w:p>
        </w:tc>
        <w:tc>
          <w:tcPr>
            <w:tcW w:type="dxa" w:w="1728"/>
          </w:tcPr>
          <w:p>
            <w:r>
              <w:rPr>
                <w:rFonts w:ascii="Calibri" w:hAnsi="Calibri"/>
                <w:sz w:val="22"/>
              </w:rPr>
              <w:t>$1.21</w:t>
            </w:r>
          </w:p>
        </w:tc>
        <w:tc>
          <w:tcPr>
            <w:tcW w:type="dxa" w:w="1728"/>
          </w:tcPr>
          <w:p>
            <w:r>
              <w:rPr>
                <w:rFonts w:ascii="Calibri" w:hAnsi="Calibri"/>
                <w:sz w:val="22"/>
              </w:rPr>
              <w:t>$1.20</w:t>
            </w:r>
          </w:p>
        </w:tc>
        <w:tc>
          <w:tcPr>
            <w:tcW w:type="dxa" w:w="1728"/>
          </w:tcPr>
          <w:p>
            <w:r>
              <w:rPr>
                <w:rFonts w:ascii="Calibri" w:hAnsi="Calibri"/>
                <w:sz w:val="22"/>
              </w:rPr>
              <w:t>+0.8%</w:t>
            </w:r>
          </w:p>
        </w:tc>
        <w:tc>
          <w:tcPr>
            <w:tcW w:type="dxa" w:w="1728"/>
          </w:tcPr>
          <w:p>
            <w:r>
              <w:rPr>
                <w:rFonts w:ascii="Calibri" w:hAnsi="Calibri"/>
                <w:b/>
                <w:color w:val="30A46C"/>
                <w:sz w:val="22"/>
              </w:rPr>
              <w:t>Beat</w:t>
            </w:r>
          </w:p>
        </w:tc>
      </w:tr>
      <w:tr>
        <w:tc>
          <w:tcPr>
            <w:tcW w:type="dxa" w:w="1728"/>
          </w:tcPr>
          <w:p>
            <w:r>
              <w:rPr>
                <w:rFonts w:ascii="Calibri" w:hAnsi="Calibri"/>
                <w:sz w:val="22"/>
              </w:rPr>
              <w:t>Q4 2024</w:t>
            </w:r>
          </w:p>
        </w:tc>
        <w:tc>
          <w:tcPr>
            <w:tcW w:type="dxa" w:w="1728"/>
          </w:tcPr>
          <w:p>
            <w:r>
              <w:rPr>
                <w:rFonts w:ascii="Calibri" w:hAnsi="Calibri"/>
                <w:sz w:val="22"/>
              </w:rPr>
              <w:t>$1.40</w:t>
            </w:r>
          </w:p>
        </w:tc>
        <w:tc>
          <w:tcPr>
            <w:tcW w:type="dxa" w:w="1728"/>
          </w:tcPr>
          <w:p>
            <w:r>
              <w:rPr>
                <w:rFonts w:ascii="Calibri" w:hAnsi="Calibri"/>
                <w:sz w:val="22"/>
              </w:rPr>
              <w:t>$1.38</w:t>
            </w:r>
          </w:p>
        </w:tc>
        <w:tc>
          <w:tcPr>
            <w:tcW w:type="dxa" w:w="1728"/>
          </w:tcPr>
          <w:p>
            <w:r>
              <w:rPr>
                <w:rFonts w:ascii="Calibri" w:hAnsi="Calibri"/>
                <w:sz w:val="22"/>
              </w:rPr>
              <w:t>+1.4%</w:t>
            </w:r>
          </w:p>
        </w:tc>
        <w:tc>
          <w:tcPr>
            <w:tcW w:type="dxa" w:w="1728"/>
          </w:tcPr>
          <w:p>
            <w:r>
              <w:rPr>
                <w:rFonts w:ascii="Calibri" w:hAnsi="Calibri"/>
                <w:b/>
                <w:color w:val="30A46C"/>
                <w:sz w:val="22"/>
              </w:rPr>
              <w:t>Beat</w:t>
            </w:r>
          </w:p>
        </w:tc>
      </w:tr>
      <w:tr>
        <w:tc>
          <w:tcPr>
            <w:tcW w:type="dxa" w:w="1728"/>
          </w:tcPr>
          <w:p>
            <w:r>
              <w:rPr>
                <w:rFonts w:ascii="Calibri" w:hAnsi="Calibri"/>
                <w:sz w:val="22"/>
              </w:rPr>
              <w:t>Q3 2024</w:t>
            </w:r>
          </w:p>
        </w:tc>
        <w:tc>
          <w:tcPr>
            <w:tcW w:type="dxa" w:w="1728"/>
          </w:tcPr>
          <w:p>
            <w:r>
              <w:rPr>
                <w:rFonts w:ascii="Calibri" w:hAnsi="Calibri"/>
                <w:sz w:val="22"/>
              </w:rPr>
              <w:t>$1.40</w:t>
            </w:r>
          </w:p>
        </w:tc>
        <w:tc>
          <w:tcPr>
            <w:tcW w:type="dxa" w:w="1728"/>
          </w:tcPr>
          <w:p>
            <w:r>
              <w:rPr>
                <w:rFonts w:ascii="Calibri" w:hAnsi="Calibri"/>
                <w:sz w:val="22"/>
              </w:rPr>
              <w:t>$1.29</w:t>
            </w:r>
          </w:p>
        </w:tc>
        <w:tc>
          <w:tcPr>
            <w:tcW w:type="dxa" w:w="1728"/>
          </w:tcPr>
          <w:p>
            <w:r>
              <w:rPr>
                <w:rFonts w:ascii="Calibri" w:hAnsi="Calibri"/>
                <w:sz w:val="22"/>
              </w:rPr>
              <w:t>+8.5%</w:t>
            </w:r>
          </w:p>
        </w:tc>
        <w:tc>
          <w:tcPr>
            <w:tcW w:type="dxa" w:w="1728"/>
          </w:tcPr>
          <w:p>
            <w:r>
              <w:rPr>
                <w:rFonts w:ascii="Calibri" w:hAnsi="Calibri"/>
                <w:b/>
                <w:color w:val="30A46C"/>
                <w:sz w:val="22"/>
              </w:rPr>
              <w:t>Beat</w:t>
            </w:r>
          </w:p>
        </w:tc>
      </w:tr>
      <w:tr>
        <w:tc>
          <w:tcPr>
            <w:tcW w:type="dxa" w:w="1728"/>
          </w:tcPr>
          <w:p>
            <w:r>
              <w:rPr>
                <w:rFonts w:ascii="Calibri" w:hAnsi="Calibri"/>
                <w:sz w:val="22"/>
              </w:rPr>
              <w:t>Q2 2024</w:t>
            </w:r>
          </w:p>
        </w:tc>
        <w:tc>
          <w:tcPr>
            <w:tcW w:type="dxa" w:w="1728"/>
          </w:tcPr>
          <w:p>
            <w:r>
              <w:rPr>
                <w:rFonts w:ascii="Calibri" w:hAnsi="Calibri"/>
                <w:sz w:val="22"/>
              </w:rPr>
              <w:t>N/A — not in VA for this window</w:t>
            </w:r>
          </w:p>
        </w:tc>
        <w:tc>
          <w:tcPr>
            <w:tcW w:type="dxa" w:w="1728"/>
          </w:tcPr>
          <w:p>
            <w:r>
              <w:rPr>
                <w:rFonts w:ascii="Calibri" w:hAnsi="Calibri"/>
                <w:sz w:val="22"/>
              </w:rPr>
              <w:t>N/A</w:t>
            </w:r>
          </w:p>
        </w:tc>
        <w:tc>
          <w:tcPr>
            <w:tcW w:type="dxa" w:w="1728"/>
          </w:tcPr>
          <w:p>
            <w:r>
              <w:rPr>
                <w:rFonts w:ascii="Calibri" w:hAnsi="Calibri"/>
                <w:sz w:val="22"/>
              </w:rPr>
              <w:t>N/A</w:t>
            </w:r>
          </w:p>
        </w:tc>
        <w:tc>
          <w:tcPr>
            <w:tcW w:type="dxa" w:w="1728"/>
          </w:tcPr>
          <w:p>
            <w:r>
              <w:rPr>
                <w:rFonts w:ascii="Calibri" w:hAnsi="Calibri"/>
                <w:sz w:val="22"/>
              </w:rPr>
              <w:t>N/A</w:t>
            </w:r>
          </w:p>
        </w:tc>
      </w:tr>
    </w:tbl>
    <w:p>
      <w:r>
        <w:rPr>
          <w:rFonts w:ascii="Calibri" w:hAnsi="Calibri"/>
          <w:b/>
          <w:color w:val="525866"/>
          <w:sz w:val="22"/>
        </w:rPr>
        <w:t xml:space="preserve">Pattern: </w:t>
      </w:r>
      <w:r>
        <w:rPr>
          <w:rFonts w:ascii="Calibri" w:hAnsi="Calibri"/>
          <w:color w:val="525866"/>
          <w:sz w:val="22"/>
        </w:rPr>
        <w:t>FIS has beaten revenue consensus in 6 of the last 7 reported quarters and beaten adjusted EPS in 6 of 7, with the sole revenue miss in Q4 2024 driven by segment mix. The Q1 2026 EPS beat of +5.4% was the largest in recent history, driven by margin outperformance and free cash flow strength. The consistent beat pattern sets a modestly elevated expectation bar for Q2, though the Capital Markets lending headwind is a known and already-guided risk.</w:t>
      </w:r>
    </w:p>
    <w:p>
      <w:r>
        <w:rPr>
          <w:rFonts w:ascii="Calibri" w:hAnsi="Calibri"/>
          <w:i/>
          <w:color w:val="525866"/>
          <w:sz w:val="22"/>
        </w:rPr>
        <w:t>Source: Visible Alpha Consensus and Actuals Data.</w:t>
      </w:r>
    </w:p>
    <w:p>
      <w:r>
        <w:br w:type="page"/>
      </w:r>
    </w:p>
    <w:p>
      <w:pPr>
        <w:pStyle w:val="Heading2"/>
      </w:pPr>
      <w:r>
        <w:rPr>
          <w:rFonts w:ascii="Calibri" w:hAnsi="Calibri"/>
          <w:b/>
          <w:color w:val="3B4259"/>
          <w:sz w:val="28"/>
        </w:rPr>
        <w:t>3. Guidance &amp; Commentary Evolution</w:t>
      </w:r>
    </w:p>
    <w:p>
      <w:r>
        <w:rPr>
          <w:rFonts w:ascii="Calibri" w:hAnsi="Calibri"/>
          <w:b/>
          <w:color w:val="525866"/>
          <w:sz w:val="22"/>
        </w:rPr>
        <w:t xml:space="preserve">Key Takeaway: </w:t>
      </w:r>
      <w:r>
        <w:rPr>
          <w:rFonts w:ascii="Calibri" w:hAnsi="Calibri"/>
          <w:color w:val="525866"/>
          <w:sz w:val="22"/>
        </w:rPr>
        <w:t xml:space="preserve">Guidance has been unchanged since the May 8 Q1 earnings call — no post-earnings 8-K or conference update has altered the numbers. Management tone has, however, </w:t>
      </w:r>
      <w:r>
        <w:rPr>
          <w:rFonts w:ascii="Calibri" w:hAnsi="Calibri"/>
          <w:b/>
          <w:color w:val="525866"/>
          <w:sz w:val="22"/>
        </w:rPr>
        <w:t>grown more confident</w:t>
      </w:r>
      <w:r>
        <w:rPr>
          <w:rFonts w:ascii="Calibri" w:hAnsi="Calibri"/>
          <w:color w:val="525866"/>
          <w:sz w:val="22"/>
        </w:rPr>
        <w:t xml:space="preserve"> through the May JP Morgan and June Mizuho conferences, with the CFO flagging free cash flow upside and the CEO describing banking demand as the strongest since before the GFC.</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Metric</w:t>
            </w:r>
          </w:p>
        </w:tc>
        <w:tc>
          <w:tcPr>
            <w:tcW w:type="dxa" w:w="1728"/>
            <w:shd w:val="clear" w:color="auto" w:fill="3B4259"/>
          </w:tcPr>
          <w:p>
            <w:r>
              <w:rPr>
                <w:rFonts w:ascii="Calibri" w:hAnsi="Calibri"/>
                <w:b/>
                <w:color w:val="FFFFFF"/>
                <w:sz w:val="22"/>
              </w:rPr>
              <w:t>Initial Guidance (Q1 2026 Earnings Call, May 8, 2026)</w:t>
            </w:r>
          </w:p>
        </w:tc>
        <w:tc>
          <w:tcPr>
            <w:tcW w:type="dxa" w:w="1728"/>
            <w:shd w:val="clear" w:color="auto" w:fill="3B4259"/>
          </w:tcPr>
          <w:p>
            <w:r>
              <w:rPr>
                <w:rFonts w:ascii="Calibri" w:hAnsi="Calibri"/>
                <w:b/>
                <w:color w:val="FFFFFF"/>
                <w:sz w:val="22"/>
              </w:rPr>
              <w:t>Revised Guidance</w:t>
            </w:r>
          </w:p>
        </w:tc>
        <w:tc>
          <w:tcPr>
            <w:tcW w:type="dxa" w:w="1728"/>
            <w:shd w:val="clear" w:color="auto" w:fill="3B4259"/>
          </w:tcPr>
          <w:p>
            <w:r>
              <w:rPr>
                <w:rFonts w:ascii="Calibri" w:hAnsi="Calibri"/>
                <w:b/>
                <w:color w:val="FFFFFF"/>
                <w:sz w:val="22"/>
              </w:rPr>
              <w:t>Current Consensus</w:t>
            </w:r>
          </w:p>
        </w:tc>
        <w:tc>
          <w:tcPr>
            <w:tcW w:type="dxa" w:w="1728"/>
            <w:shd w:val="clear" w:color="auto" w:fill="3B4259"/>
          </w:tcPr>
          <w:p>
            <w:r>
              <w:rPr>
                <w:rFonts w:ascii="Calibri" w:hAnsi="Calibri"/>
                <w:b/>
                <w:color w:val="FFFFFF"/>
                <w:sz w:val="22"/>
              </w:rPr>
              <w:t>Note</w:t>
            </w:r>
          </w:p>
        </w:tc>
      </w:tr>
      <w:tr>
        <w:tc>
          <w:tcPr>
            <w:tcW w:type="dxa" w:w="1728"/>
          </w:tcPr>
          <w:p>
            <w:r>
              <w:rPr>
                <w:rFonts w:ascii="Calibri" w:hAnsi="Calibri"/>
                <w:sz w:val="22"/>
              </w:rPr>
              <w:t>Q2 2026 Revenue</w:t>
            </w:r>
          </w:p>
        </w:tc>
        <w:tc>
          <w:tcPr>
            <w:tcW w:type="dxa" w:w="1728"/>
          </w:tcPr>
          <w:p>
            <w:r>
              <w:rPr>
                <w:rFonts w:ascii="Calibri" w:hAnsi="Calibri"/>
                <w:sz w:val="22"/>
              </w:rPr>
              <w:t>$3,375–$3,395M</w:t>
            </w:r>
          </w:p>
        </w:tc>
        <w:tc>
          <w:tcPr>
            <w:tcW w:type="dxa" w:w="1728"/>
          </w:tcPr>
          <w:p>
            <w:r>
              <w:rPr>
                <w:rFonts w:ascii="Calibri" w:hAnsi="Calibri"/>
                <w:sz w:val="22"/>
              </w:rPr>
              <w:t>—</w:t>
            </w:r>
          </w:p>
        </w:tc>
        <w:tc>
          <w:tcPr>
            <w:tcW w:type="dxa" w:w="1728"/>
          </w:tcPr>
          <w:p>
            <w:r>
              <w:rPr>
                <w:rFonts w:ascii="Calibri" w:hAnsi="Calibri"/>
                <w:sz w:val="22"/>
              </w:rPr>
              <w:t>$3,385M</w:t>
            </w:r>
          </w:p>
        </w:tc>
        <w:tc>
          <w:tcPr>
            <w:tcW w:type="dxa" w:w="1728"/>
          </w:tcPr>
          <w:p>
            <w:r>
              <w:rPr>
                <w:rFonts w:ascii="Calibri" w:hAnsi="Calibri"/>
                <w:sz w:val="22"/>
              </w:rPr>
              <w:t>Unchanged; consensus at midpoint</w:t>
            </w:r>
          </w:p>
        </w:tc>
      </w:tr>
      <w:tr>
        <w:tc>
          <w:tcPr>
            <w:tcW w:type="dxa" w:w="1728"/>
          </w:tcPr>
          <w:p>
            <w:r>
              <w:rPr>
                <w:rFonts w:ascii="Calibri" w:hAnsi="Calibri"/>
                <w:sz w:val="22"/>
              </w:rPr>
              <w:t>Q2 2026 Adj. EBITDA</w:t>
            </w:r>
          </w:p>
        </w:tc>
        <w:tc>
          <w:tcPr>
            <w:tcW w:type="dxa" w:w="1728"/>
          </w:tcPr>
          <w:p>
            <w:r>
              <w:rPr>
                <w:rFonts w:ascii="Calibri" w:hAnsi="Calibri"/>
                <w:sz w:val="22"/>
              </w:rPr>
              <w:t>$1,395–$1,415M</w:t>
            </w:r>
          </w:p>
        </w:tc>
        <w:tc>
          <w:tcPr>
            <w:tcW w:type="dxa" w:w="1728"/>
          </w:tcPr>
          <w:p>
            <w:r>
              <w:rPr>
                <w:rFonts w:ascii="Calibri" w:hAnsi="Calibri"/>
                <w:sz w:val="22"/>
              </w:rPr>
              <w:t>—</w:t>
            </w:r>
          </w:p>
        </w:tc>
        <w:tc>
          <w:tcPr>
            <w:tcW w:type="dxa" w:w="1728"/>
          </w:tcPr>
          <w:p>
            <w:r>
              <w:rPr>
                <w:rFonts w:ascii="Calibri" w:hAnsi="Calibri"/>
                <w:sz w:val="22"/>
              </w:rPr>
              <w:t>$1,406M</w:t>
            </w:r>
          </w:p>
        </w:tc>
        <w:tc>
          <w:tcPr>
            <w:tcW w:type="dxa" w:w="1728"/>
          </w:tcPr>
          <w:p>
            <w:r>
              <w:rPr>
                <w:rFonts w:ascii="Calibri" w:hAnsi="Calibri"/>
                <w:sz w:val="22"/>
              </w:rPr>
              <w:t>Unchanged; consensus at midpoint</w:t>
            </w:r>
          </w:p>
        </w:tc>
      </w:tr>
      <w:tr>
        <w:tc>
          <w:tcPr>
            <w:tcW w:type="dxa" w:w="1728"/>
          </w:tcPr>
          <w:p>
            <w:r>
              <w:rPr>
                <w:rFonts w:ascii="Calibri" w:hAnsi="Calibri"/>
                <w:sz w:val="22"/>
              </w:rPr>
              <w:t>Q2 2026 Adj. EPS</w:t>
            </w:r>
          </w:p>
        </w:tc>
        <w:tc>
          <w:tcPr>
            <w:tcW w:type="dxa" w:w="1728"/>
          </w:tcPr>
          <w:p>
            <w:r>
              <w:rPr>
                <w:rFonts w:ascii="Calibri" w:hAnsi="Calibri"/>
                <w:sz w:val="22"/>
              </w:rPr>
              <w:t>$1.45–$1.49</w:t>
            </w:r>
          </w:p>
        </w:tc>
        <w:tc>
          <w:tcPr>
            <w:tcW w:type="dxa" w:w="1728"/>
          </w:tcPr>
          <w:p>
            <w:r>
              <w:rPr>
                <w:rFonts w:ascii="Calibri" w:hAnsi="Calibri"/>
                <w:sz w:val="22"/>
              </w:rPr>
              <w:t>—</w:t>
            </w:r>
          </w:p>
        </w:tc>
        <w:tc>
          <w:tcPr>
            <w:tcW w:type="dxa" w:w="1728"/>
          </w:tcPr>
          <w:p>
            <w:r>
              <w:rPr>
                <w:rFonts w:ascii="Calibri" w:hAnsi="Calibri"/>
                <w:sz w:val="22"/>
              </w:rPr>
              <w:t>$1.47</w:t>
            </w:r>
          </w:p>
        </w:tc>
        <w:tc>
          <w:tcPr>
            <w:tcW w:type="dxa" w:w="1728"/>
          </w:tcPr>
          <w:p>
            <w:r>
              <w:rPr>
                <w:rFonts w:ascii="Calibri" w:hAnsi="Calibri"/>
                <w:sz w:val="22"/>
              </w:rPr>
              <w:t>Unchanged; consensus at midpoint</w:t>
            </w:r>
          </w:p>
        </w:tc>
      </w:tr>
      <w:tr>
        <w:tc>
          <w:tcPr>
            <w:tcW w:type="dxa" w:w="1728"/>
          </w:tcPr>
          <w:p>
            <w:r>
              <w:rPr>
                <w:rFonts w:ascii="Calibri" w:hAnsi="Calibri"/>
                <w:sz w:val="22"/>
              </w:rPr>
              <w:t>Q2 2026 Adj. EPS Growth</w:t>
            </w:r>
          </w:p>
        </w:tc>
        <w:tc>
          <w:tcPr>
            <w:tcW w:type="dxa" w:w="1728"/>
          </w:tcPr>
          <w:p>
            <w:r>
              <w:rPr>
                <w:rFonts w:ascii="Calibri" w:hAnsi="Calibri"/>
                <w:sz w:val="22"/>
              </w:rPr>
              <w:t>7%–10% YoY</w:t>
            </w:r>
          </w:p>
        </w:tc>
        <w:tc>
          <w:tcPr>
            <w:tcW w:type="dxa" w:w="1728"/>
          </w:tcPr>
          <w:p>
            <w:r>
              <w:rPr>
                <w:rFonts w:ascii="Calibri" w:hAnsi="Calibri"/>
                <w:sz w:val="22"/>
              </w:rPr>
              <w:t>—</w:t>
            </w:r>
          </w:p>
        </w:tc>
        <w:tc>
          <w:tcPr>
            <w:tcW w:type="dxa" w:w="1728"/>
          </w:tcPr>
          <w:p>
            <w:r>
              <w:rPr>
                <w:rFonts w:ascii="Calibri" w:hAnsi="Calibri"/>
                <w:sz w:val="22"/>
              </w:rPr>
              <w:t>~7.3% YoY</w:t>
            </w:r>
          </w:p>
        </w:tc>
        <w:tc>
          <w:tcPr>
            <w:tcW w:type="dxa" w:w="1728"/>
          </w:tcPr>
          <w:p>
            <w:r>
              <w:rPr>
                <w:rFonts w:ascii="Calibri" w:hAnsi="Calibri"/>
                <w:sz w:val="22"/>
              </w:rPr>
              <w:t>Unchanged</w:t>
            </w:r>
          </w:p>
        </w:tc>
      </w:tr>
      <w:tr>
        <w:tc>
          <w:tcPr>
            <w:tcW w:type="dxa" w:w="1728"/>
          </w:tcPr>
          <w:p>
            <w:r>
              <w:rPr>
                <w:rFonts w:ascii="Calibri" w:hAnsi="Calibri"/>
                <w:sz w:val="22"/>
              </w:rPr>
              <w:t>Q2 2026 EBITDA Margin Expansion</w:t>
            </w:r>
          </w:p>
        </w:tc>
        <w:tc>
          <w:tcPr>
            <w:tcW w:type="dxa" w:w="1728"/>
          </w:tcPr>
          <w:p>
            <w:r>
              <w:rPr>
                <w:rFonts w:ascii="Calibri" w:hAnsi="Calibri"/>
                <w:sz w:val="22"/>
              </w:rPr>
              <w:t>75–110 bps YoY</w:t>
            </w:r>
          </w:p>
        </w:tc>
        <w:tc>
          <w:tcPr>
            <w:tcW w:type="dxa" w:w="1728"/>
          </w:tcPr>
          <w:p>
            <w:r>
              <w:rPr>
                <w:rFonts w:ascii="Calibri" w:hAnsi="Calibri"/>
                <w:sz w:val="22"/>
              </w:rPr>
              <w:t>—</w:t>
            </w:r>
          </w:p>
        </w:tc>
        <w:tc>
          <w:tcPr>
            <w:tcW w:type="dxa" w:w="1728"/>
          </w:tcPr>
          <w:p>
            <w:r>
              <w:rPr>
                <w:rFonts w:ascii="Calibri" w:hAnsi="Calibri"/>
                <w:sz w:val="22"/>
              </w:rPr>
              <w:t>N/A — not tracked separately in VA</w:t>
            </w:r>
          </w:p>
        </w:tc>
        <w:tc>
          <w:tcPr>
            <w:tcW w:type="dxa" w:w="1728"/>
          </w:tcPr>
          <w:p>
            <w:r>
              <w:rPr>
                <w:rFonts w:ascii="Calibri" w:hAnsi="Calibri"/>
                <w:sz w:val="22"/>
              </w:rPr>
              <w:t>Unchanged</w:t>
            </w:r>
          </w:p>
        </w:tc>
      </w:tr>
      <w:tr>
        <w:tc>
          <w:tcPr>
            <w:tcW w:type="dxa" w:w="1728"/>
          </w:tcPr>
          <w:p>
            <w:r>
              <w:rPr>
                <w:rFonts w:ascii="Calibri" w:hAnsi="Calibri"/>
                <w:sz w:val="22"/>
              </w:rPr>
              <w:t>Q2 2026 Banking Pro Forma Growth</w:t>
            </w:r>
          </w:p>
        </w:tc>
        <w:tc>
          <w:tcPr>
            <w:tcW w:type="dxa" w:w="1728"/>
          </w:tcPr>
          <w:p>
            <w:r>
              <w:rPr>
                <w:rFonts w:ascii="Calibri" w:hAnsi="Calibri"/>
                <w:sz w:val="22"/>
              </w:rPr>
              <w:t>5.5%–6.0%</w:t>
            </w:r>
          </w:p>
        </w:tc>
        <w:tc>
          <w:tcPr>
            <w:tcW w:type="dxa" w:w="1728"/>
          </w:tcPr>
          <w:p>
            <w:r>
              <w:rPr>
                <w:rFonts w:ascii="Calibri" w:hAnsi="Calibri"/>
                <w:sz w:val="22"/>
              </w:rPr>
              <w:t>—</w:t>
            </w:r>
          </w:p>
        </w:tc>
        <w:tc>
          <w:tcPr>
            <w:tcW w:type="dxa" w:w="1728"/>
          </w:tcPr>
          <w:p>
            <w:r>
              <w:rPr>
                <w:rFonts w:ascii="Calibri" w:hAnsi="Calibri"/>
                <w:sz w:val="22"/>
              </w:rPr>
              <w:t>N/A — not tracked separately in VA on pro forma basis</w:t>
            </w:r>
          </w:p>
        </w:tc>
        <w:tc>
          <w:tcPr>
            <w:tcW w:type="dxa" w:w="1728"/>
          </w:tcPr>
          <w:p>
            <w:r>
              <w:rPr>
                <w:rFonts w:ascii="Calibri" w:hAnsi="Calibri"/>
                <w:sz w:val="22"/>
              </w:rPr>
              <w:t>Unchanged; tracking toward upper end per mgmt</w:t>
            </w:r>
          </w:p>
        </w:tc>
      </w:tr>
      <w:tr>
        <w:tc>
          <w:tcPr>
            <w:tcW w:type="dxa" w:w="1728"/>
          </w:tcPr>
          <w:p>
            <w:r>
              <w:rPr>
                <w:rFonts w:ascii="Calibri" w:hAnsi="Calibri"/>
                <w:sz w:val="22"/>
              </w:rPr>
              <w:t>Q2 2026 Capital Markets Pro Forma Growth</w:t>
            </w:r>
          </w:p>
        </w:tc>
        <w:tc>
          <w:tcPr>
            <w:tcW w:type="dxa" w:w="1728"/>
          </w:tcPr>
          <w:p>
            <w:r>
              <w:rPr>
                <w:rFonts w:ascii="Calibri" w:hAnsi="Calibri"/>
                <w:sz w:val="22"/>
              </w:rPr>
              <w:t>3.0%–4.0% (incl. 125 bps license timing headwind &amp; ~50 bps lending softness)</w:t>
            </w:r>
          </w:p>
        </w:tc>
        <w:tc>
          <w:tcPr>
            <w:tcW w:type="dxa" w:w="1728"/>
          </w:tcPr>
          <w:p>
            <w:r>
              <w:rPr>
                <w:rFonts w:ascii="Calibri" w:hAnsi="Calibri"/>
                <w:sz w:val="22"/>
              </w:rPr>
              <w:t>—</w:t>
            </w:r>
          </w:p>
        </w:tc>
        <w:tc>
          <w:tcPr>
            <w:tcW w:type="dxa" w:w="1728"/>
          </w:tcPr>
          <w:p>
            <w:r>
              <w:rPr>
                <w:rFonts w:ascii="Calibri" w:hAnsi="Calibri"/>
                <w:sz w:val="22"/>
              </w:rPr>
              <w:t>N/A — not tracked separately in VA on pro forma basis</w:t>
            </w:r>
          </w:p>
        </w:tc>
        <w:tc>
          <w:tcPr>
            <w:tcW w:type="dxa" w:w="1728"/>
          </w:tcPr>
          <w:p>
            <w:r>
              <w:rPr>
                <w:rFonts w:ascii="Calibri" w:hAnsi="Calibri"/>
                <w:sz w:val="22"/>
              </w:rPr>
              <w:t>Unchanged; tracking toward lower end per mgmt</w:t>
            </w:r>
          </w:p>
        </w:tc>
      </w:tr>
      <w:tr>
        <w:tc>
          <w:tcPr>
            <w:tcW w:type="dxa" w:w="1728"/>
          </w:tcPr>
          <w:p>
            <w:r>
              <w:rPr>
                <w:rFonts w:ascii="Calibri" w:hAnsi="Calibri"/>
                <w:sz w:val="22"/>
              </w:rPr>
              <w:t>FY 2026 Revenue</w:t>
            </w:r>
          </w:p>
        </w:tc>
        <w:tc>
          <w:tcPr>
            <w:tcW w:type="dxa" w:w="1728"/>
          </w:tcPr>
          <w:p>
            <w:r>
              <w:rPr>
                <w:rFonts w:ascii="Calibri" w:hAnsi="Calibri"/>
                <w:sz w:val="22"/>
              </w:rPr>
              <w:t>$13,770–$13,850M (pro forma +5.1%–5.7%)</w:t>
            </w:r>
          </w:p>
        </w:tc>
        <w:tc>
          <w:tcPr>
            <w:tcW w:type="dxa" w:w="1728"/>
          </w:tcPr>
          <w:p>
            <w:r>
              <w:rPr>
                <w:rFonts w:ascii="Calibri" w:hAnsi="Calibri"/>
                <w:sz w:val="22"/>
              </w:rPr>
              <w:t>—</w:t>
            </w:r>
          </w:p>
        </w:tc>
        <w:tc>
          <w:tcPr>
            <w:tcW w:type="dxa" w:w="1728"/>
          </w:tcPr>
          <w:p>
            <w:r>
              <w:rPr>
                <w:rFonts w:ascii="Calibri" w:hAnsi="Calibri"/>
                <w:sz w:val="22"/>
              </w:rPr>
              <w:t>$13,807M</w:t>
            </w:r>
          </w:p>
        </w:tc>
        <w:tc>
          <w:tcPr>
            <w:tcW w:type="dxa" w:w="1728"/>
          </w:tcPr>
          <w:p>
            <w:r>
              <w:rPr>
                <w:rFonts w:ascii="Calibri" w:hAnsi="Calibri"/>
                <w:sz w:val="22"/>
              </w:rPr>
              <w:t>Unchanged; reiterated at JP Morgan (May 19) and Mizuho (June 9) conferences</w:t>
            </w:r>
          </w:p>
        </w:tc>
      </w:tr>
      <w:tr>
        <w:tc>
          <w:tcPr>
            <w:tcW w:type="dxa" w:w="1728"/>
          </w:tcPr>
          <w:p>
            <w:r>
              <w:rPr>
                <w:rFonts w:ascii="Calibri" w:hAnsi="Calibri"/>
                <w:sz w:val="22"/>
              </w:rPr>
              <w:t>FY 2026 Adj. EBITDA</w:t>
            </w:r>
          </w:p>
        </w:tc>
        <w:tc>
          <w:tcPr>
            <w:tcW w:type="dxa" w:w="1728"/>
          </w:tcPr>
          <w:p>
            <w:r>
              <w:rPr>
                <w:rFonts w:ascii="Calibri" w:hAnsi="Calibri"/>
                <w:sz w:val="22"/>
              </w:rPr>
              <w:t>$5,800–$5,860M (pro forma +7.2%–8.4%)</w:t>
            </w:r>
          </w:p>
        </w:tc>
        <w:tc>
          <w:tcPr>
            <w:tcW w:type="dxa" w:w="1728"/>
          </w:tcPr>
          <w:p>
            <w:r>
              <w:rPr>
                <w:rFonts w:ascii="Calibri" w:hAnsi="Calibri"/>
                <w:sz w:val="22"/>
              </w:rPr>
              <w:t>—</w:t>
            </w:r>
          </w:p>
        </w:tc>
        <w:tc>
          <w:tcPr>
            <w:tcW w:type="dxa" w:w="1728"/>
          </w:tcPr>
          <w:p>
            <w:r>
              <w:rPr>
                <w:rFonts w:ascii="Calibri" w:hAnsi="Calibri"/>
                <w:sz w:val="22"/>
              </w:rPr>
              <w:t>$5,827M</w:t>
            </w:r>
          </w:p>
        </w:tc>
        <w:tc>
          <w:tcPr>
            <w:tcW w:type="dxa" w:w="1728"/>
          </w:tcPr>
          <w:p>
            <w:r>
              <w:rPr>
                <w:rFonts w:ascii="Calibri" w:hAnsi="Calibri"/>
                <w:sz w:val="22"/>
              </w:rPr>
              <w:t>Unchanged; margin expansion 95–110 bps</w:t>
            </w:r>
          </w:p>
        </w:tc>
      </w:tr>
      <w:tr>
        <w:tc>
          <w:tcPr>
            <w:tcW w:type="dxa" w:w="1728"/>
          </w:tcPr>
          <w:p>
            <w:r>
              <w:rPr>
                <w:rFonts w:ascii="Calibri" w:hAnsi="Calibri"/>
                <w:sz w:val="22"/>
              </w:rPr>
              <w:t>FY 2026 Adj. EPS</w:t>
            </w:r>
          </w:p>
        </w:tc>
        <w:tc>
          <w:tcPr>
            <w:tcW w:type="dxa" w:w="1728"/>
          </w:tcPr>
          <w:p>
            <w:r>
              <w:rPr>
                <w:rFonts w:ascii="Calibri" w:hAnsi="Calibri"/>
                <w:sz w:val="22"/>
              </w:rPr>
              <w:t>$6.22–$6.32 (+8%–10% YoY)</w:t>
            </w:r>
          </w:p>
        </w:tc>
        <w:tc>
          <w:tcPr>
            <w:tcW w:type="dxa" w:w="1728"/>
          </w:tcPr>
          <w:p>
            <w:r>
              <w:rPr>
                <w:rFonts w:ascii="Calibri" w:hAnsi="Calibri"/>
                <w:sz w:val="22"/>
              </w:rPr>
              <w:t>—</w:t>
            </w:r>
          </w:p>
        </w:tc>
        <w:tc>
          <w:tcPr>
            <w:tcW w:type="dxa" w:w="1728"/>
          </w:tcPr>
          <w:p>
            <w:r>
              <w:rPr>
                <w:rFonts w:ascii="Calibri" w:hAnsi="Calibri"/>
                <w:sz w:val="22"/>
              </w:rPr>
              <w:t>$6.30</w:t>
            </w:r>
          </w:p>
        </w:tc>
        <w:tc>
          <w:tcPr>
            <w:tcW w:type="dxa" w:w="1728"/>
          </w:tcPr>
          <w:p>
            <w:r>
              <w:rPr>
                <w:rFonts w:ascii="Calibri" w:hAnsi="Calibri"/>
                <w:sz w:val="22"/>
              </w:rPr>
              <w:t>Unchanged; consensus near top of range</w:t>
            </w:r>
          </w:p>
        </w:tc>
      </w:tr>
      <w:tr>
        <w:tc>
          <w:tcPr>
            <w:tcW w:type="dxa" w:w="1728"/>
          </w:tcPr>
          <w:p>
            <w:r>
              <w:rPr>
                <w:rFonts w:ascii="Calibri" w:hAnsi="Calibri"/>
                <w:sz w:val="22"/>
              </w:rPr>
              <w:t>FY 2026 Free Cash Flow</w:t>
            </w:r>
          </w:p>
        </w:tc>
        <w:tc>
          <w:tcPr>
            <w:tcW w:type="dxa" w:w="1728"/>
          </w:tcPr>
          <w:p>
            <w:r>
              <w:rPr>
                <w:rFonts w:ascii="Calibri" w:hAnsi="Calibri"/>
                <w:sz w:val="22"/>
              </w:rPr>
              <w:t>$2.05–$2.15B (+27%–33% YoY)</w:t>
            </w:r>
          </w:p>
        </w:tc>
        <w:tc>
          <w:tcPr>
            <w:tcW w:type="dxa" w:w="1728"/>
          </w:tcPr>
          <w:p>
            <w:r>
              <w:rPr>
                <w:rFonts w:ascii="Calibri" w:hAnsi="Calibri"/>
                <w:sz w:val="22"/>
              </w:rPr>
              <w:t>—</w:t>
            </w:r>
          </w:p>
        </w:tc>
        <w:tc>
          <w:tcPr>
            <w:tcW w:type="dxa" w:w="1728"/>
          </w:tcPr>
          <w:p>
            <w:r>
              <w:rPr>
                <w:rFonts w:ascii="Calibri" w:hAnsi="Calibri"/>
                <w:sz w:val="22"/>
              </w:rPr>
              <w:t>$2.81B (VA consensus, likely includes full-year FCF)</w:t>
            </w:r>
          </w:p>
        </w:tc>
        <w:tc>
          <w:tcPr>
            <w:tcW w:type="dxa" w:w="1728"/>
          </w:tcPr>
          <w:p>
            <w:r>
              <w:rPr>
                <w:rFonts w:ascii="Calibri" w:hAnsi="Calibri"/>
                <w:sz w:val="22"/>
              </w:rPr>
              <w:t>CFO flagged "bunch of upside" at JP Morgan conference (May 19, 2026)</w:t>
            </w:r>
          </w:p>
        </w:tc>
      </w:tr>
    </w:tbl>
    <w:p>
      <w:r>
        <w:rPr>
          <w:rFonts w:ascii="Calibri" w:hAnsi="Calibri"/>
          <w:i/>
          <w:color w:val="525866"/>
          <w:sz w:val="22"/>
        </w:rPr>
        <w:t>Source: FIS Q1 2026 Earnings Release (May 8, 2026); FIS Q1 2026 Earnings Call Transcript (May 8, 2026); JP Morgan Global Technology, Media and Communications Conference Transcript (May 19, 2026); Mizuho Technology Conference Transcript (June 9, 2026); Visible Alpha Consensus and Actuals Data.</w:t>
      </w:r>
    </w:p>
    <w:p>
      <w:pPr>
        <w:pStyle w:val="Heading2"/>
      </w:pPr>
      <w:r>
        <w:rPr>
          <w:rFonts w:ascii="Calibri" w:hAnsi="Calibri"/>
          <w:b/>
          <w:color w:val="3B4259"/>
          <w:sz w:val="28"/>
        </w:rPr>
        <w:t>4. Guidance vs. Estimate Revision Tracker</w:t>
      </w:r>
    </w:p>
    <w:p>
      <w:r>
        <w:rPr>
          <w:rFonts w:ascii="Calibri" w:hAnsi="Calibri"/>
          <w:b/>
          <w:color w:val="525866"/>
          <w:sz w:val="22"/>
        </w:rPr>
        <w:t xml:space="preserve">Key Takeaway: </w:t>
      </w:r>
      <w:r>
        <w:rPr>
          <w:rFonts w:ascii="Calibri" w:hAnsi="Calibri"/>
          <w:color w:val="525866"/>
          <w:sz w:val="22"/>
        </w:rPr>
        <w:t xml:space="preserve">Estimates have been broadly stable since the Q1 print — revenue and EPS for Q2 and FY 2026 are essentially flat vs. the post-Q1 baseline, suggesting the street has fully absorbed the Capital Markets lending headwind without further cuts. The </w:t>
      </w:r>
      <w:r>
        <w:rPr>
          <w:rFonts w:ascii="Calibri" w:hAnsi="Calibri"/>
          <w:b/>
          <w:color w:val="525866"/>
          <w:sz w:val="22"/>
        </w:rPr>
        <w:t>FY 2026 EPS consensus of $6.30 sits near the top of the $6.22–$6.32 guidance range</w:t>
      </w:r>
      <w:r>
        <w:rPr>
          <w:rFonts w:ascii="Calibri" w:hAnsi="Calibri"/>
          <w:color w:val="525866"/>
          <w:sz w:val="22"/>
        </w:rPr>
        <w:t>, implying the street is already pricing in modest upside to the midpoint.</w:t>
      </w:r>
    </w:p>
    <w:tbl>
      <w:tblPr>
        <w:tblStyle w:val="TableGrid"/>
        <w:tblW w:type="auto" w:w="0"/>
        <w:tblLook w:firstColumn="1" w:firstRow="1" w:lastColumn="0" w:lastRow="0" w:noHBand="0" w:noVBand="1" w:val="04A0"/>
      </w:tblPr>
      <w:tblGrid>
        <w:gridCol w:w="1080"/>
        <w:gridCol w:w="1080"/>
        <w:gridCol w:w="1080"/>
        <w:gridCol w:w="1080"/>
        <w:gridCol w:w="1080"/>
        <w:gridCol w:w="1080"/>
        <w:gridCol w:w="1080"/>
        <w:gridCol w:w="1080"/>
      </w:tblGrid>
      <w:tr>
        <w:tc>
          <w:tcPr>
            <w:tcW w:type="dxa" w:w="1080"/>
            <w:shd w:val="clear" w:color="auto" w:fill="3B4259"/>
          </w:tcPr>
          <w:p>
            <w:r>
              <w:rPr>
                <w:rFonts w:ascii="Calibri" w:hAnsi="Calibri"/>
                <w:b/>
                <w:color w:val="FFFFFF"/>
                <w:sz w:val="22"/>
              </w:rPr>
              <w:t>KPI (Period)</w:t>
            </w:r>
          </w:p>
        </w:tc>
        <w:tc>
          <w:tcPr>
            <w:tcW w:type="dxa" w:w="1080"/>
            <w:shd w:val="clear" w:color="auto" w:fill="3B4259"/>
          </w:tcPr>
          <w:p>
            <w:r>
              <w:rPr>
                <w:rFonts w:ascii="Calibri" w:hAnsi="Calibri"/>
                <w:b/>
                <w:color w:val="FFFFFF"/>
                <w:sz w:val="22"/>
              </w:rPr>
              <w:t>Estimate ~5 Days Post Q1 Earnings (as of May 15, 2026)</w:t>
            </w:r>
          </w:p>
        </w:tc>
        <w:tc>
          <w:tcPr>
            <w:tcW w:type="dxa" w:w="1080"/>
            <w:shd w:val="clear" w:color="auto" w:fill="3B4259"/>
          </w:tcPr>
          <w:p>
            <w:r>
              <w:rPr>
                <w:rFonts w:ascii="Calibri" w:hAnsi="Calibri"/>
                <w:b/>
                <w:color w:val="FFFFFF"/>
                <w:sz w:val="22"/>
              </w:rPr>
              <w:t>Current Consensus</w:t>
            </w:r>
          </w:p>
        </w:tc>
        <w:tc>
          <w:tcPr>
            <w:tcW w:type="dxa" w:w="1080"/>
            <w:shd w:val="clear" w:color="auto" w:fill="3B4259"/>
          </w:tcPr>
          <w:p>
            <w:r>
              <w:rPr>
                <w:rFonts w:ascii="Calibri" w:hAnsi="Calibri"/>
                <w:b/>
                <w:color w:val="FFFFFF"/>
                <w:sz w:val="22"/>
              </w:rPr>
              <w:t>Estimate Δ (%)</w:t>
            </w:r>
          </w:p>
        </w:tc>
        <w:tc>
          <w:tcPr>
            <w:tcW w:type="dxa" w:w="1080"/>
            <w:shd w:val="clear" w:color="auto" w:fill="3B4259"/>
          </w:tcPr>
          <w:p>
            <w:r>
              <w:rPr>
                <w:rFonts w:ascii="Calibri" w:hAnsi="Calibri"/>
                <w:b/>
                <w:color w:val="FFFFFF"/>
                <w:sz w:val="22"/>
              </w:rPr>
              <w:t>Initial Guidance (Q1 Earnings Call)</w:t>
            </w:r>
          </w:p>
        </w:tc>
        <w:tc>
          <w:tcPr>
            <w:tcW w:type="dxa" w:w="1080"/>
            <w:shd w:val="clear" w:color="auto" w:fill="3B4259"/>
          </w:tcPr>
          <w:p>
            <w:r>
              <w:rPr>
                <w:rFonts w:ascii="Calibri" w:hAnsi="Calibri"/>
                <w:b/>
                <w:color w:val="FFFFFF"/>
                <w:sz w:val="22"/>
              </w:rPr>
              <w:t>Current Guidance</w:t>
            </w:r>
          </w:p>
        </w:tc>
        <w:tc>
          <w:tcPr>
            <w:tcW w:type="dxa" w:w="1080"/>
            <w:shd w:val="clear" w:color="auto" w:fill="3B4259"/>
          </w:tcPr>
          <w:p>
            <w:r>
              <w:rPr>
                <w:rFonts w:ascii="Calibri" w:hAnsi="Calibri"/>
                <w:b/>
                <w:color w:val="FFFFFF"/>
                <w:sz w:val="22"/>
              </w:rPr>
              <w:t>Guidance Δ</w:t>
            </w:r>
          </w:p>
        </w:tc>
        <w:tc>
          <w:tcPr>
            <w:tcW w:type="dxa" w:w="1080"/>
            <w:shd w:val="clear" w:color="auto" w:fill="3B4259"/>
          </w:tcPr>
          <w:p>
            <w:r>
              <w:rPr>
                <w:rFonts w:ascii="Calibri" w:hAnsi="Calibri"/>
                <w:b/>
                <w:color w:val="FFFFFF"/>
                <w:sz w:val="22"/>
              </w:rPr>
              <w:t>Consensus vs. Guidance (%)</w:t>
            </w:r>
          </w:p>
        </w:tc>
      </w:tr>
      <w:tr>
        <w:tc>
          <w:tcPr>
            <w:tcW w:type="dxa" w:w="1080"/>
          </w:tcPr>
          <w:p>
            <w:r>
              <w:rPr>
                <w:rFonts w:ascii="Calibri" w:hAnsi="Calibri"/>
                <w:sz w:val="22"/>
              </w:rPr>
              <w:t>Revenue — Q2 2026</w:t>
            </w:r>
          </w:p>
        </w:tc>
        <w:tc>
          <w:tcPr>
            <w:tcW w:type="dxa" w:w="1080"/>
          </w:tcPr>
          <w:p>
            <w:r>
              <w:rPr>
                <w:rFonts w:ascii="Calibri" w:hAnsi="Calibri"/>
                <w:sz w:val="22"/>
              </w:rPr>
              <w:t>$3,385M</w:t>
            </w:r>
          </w:p>
        </w:tc>
        <w:tc>
          <w:tcPr>
            <w:tcW w:type="dxa" w:w="1080"/>
          </w:tcPr>
          <w:p>
            <w:r>
              <w:rPr>
                <w:rFonts w:ascii="Calibri" w:hAnsi="Calibri"/>
                <w:sz w:val="22"/>
              </w:rPr>
              <w:t>$3,385M</w:t>
            </w:r>
          </w:p>
        </w:tc>
        <w:tc>
          <w:tcPr>
            <w:tcW w:type="dxa" w:w="1080"/>
          </w:tcPr>
          <w:p>
            <w:r>
              <w:rPr>
                <w:rFonts w:ascii="Calibri" w:hAnsi="Calibri"/>
                <w:sz w:val="22"/>
              </w:rPr>
              <w:t>~0%</w:t>
            </w:r>
          </w:p>
        </w:tc>
        <w:tc>
          <w:tcPr>
            <w:tcW w:type="dxa" w:w="1080"/>
          </w:tcPr>
          <w:p>
            <w:r>
              <w:rPr>
                <w:rFonts w:ascii="Calibri" w:hAnsi="Calibri"/>
                <w:sz w:val="22"/>
              </w:rPr>
              <w:t>$3,375–$3,395M</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~0% (at midpoint)</w:t>
            </w:r>
          </w:p>
        </w:tc>
      </w:tr>
      <w:tr>
        <w:tc>
          <w:tcPr>
            <w:tcW w:type="dxa" w:w="1080"/>
          </w:tcPr>
          <w:p>
            <w:r>
              <w:rPr>
                <w:rFonts w:ascii="Calibri" w:hAnsi="Calibri"/>
                <w:sz w:val="22"/>
              </w:rPr>
              <w:t>Revenue — FY 2026</w:t>
            </w:r>
          </w:p>
        </w:tc>
        <w:tc>
          <w:tcPr>
            <w:tcW w:type="dxa" w:w="1080"/>
          </w:tcPr>
          <w:p>
            <w:r>
              <w:rPr>
                <w:rFonts w:ascii="Calibri" w:hAnsi="Calibri"/>
                <w:sz w:val="22"/>
              </w:rPr>
              <w:t>$13,811M</w:t>
            </w:r>
          </w:p>
        </w:tc>
        <w:tc>
          <w:tcPr>
            <w:tcW w:type="dxa" w:w="1080"/>
          </w:tcPr>
          <w:p>
            <w:r>
              <w:rPr>
                <w:rFonts w:ascii="Calibri" w:hAnsi="Calibri"/>
                <w:sz w:val="22"/>
              </w:rPr>
              <w:t>$13,807M</w:t>
            </w:r>
          </w:p>
        </w:tc>
        <w:tc>
          <w:tcPr>
            <w:tcW w:type="dxa" w:w="1080"/>
          </w:tcPr>
          <w:p>
            <w:r>
              <w:rPr>
                <w:rFonts w:ascii="Calibri" w:hAnsi="Calibri"/>
                <w:sz w:val="22"/>
              </w:rPr>
              <w:t>-0.03%</w:t>
            </w:r>
          </w:p>
        </w:tc>
        <w:tc>
          <w:tcPr>
            <w:tcW w:type="dxa" w:w="1080"/>
          </w:tcPr>
          <w:p>
            <w:r>
              <w:rPr>
                <w:rFonts w:ascii="Calibri" w:hAnsi="Calibri"/>
                <w:sz w:val="22"/>
              </w:rPr>
              <w:t>$13,770–$13,850M</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~0% (at midpoint)</w:t>
            </w:r>
          </w:p>
        </w:tc>
      </w:tr>
      <w:tr>
        <w:tc>
          <w:tcPr>
            <w:tcW w:type="dxa" w:w="1080"/>
          </w:tcPr>
          <w:p>
            <w:r>
              <w:rPr>
                <w:rFonts w:ascii="Calibri" w:hAnsi="Calibri"/>
                <w:sz w:val="22"/>
              </w:rPr>
              <w:t>Adj. EBITDA — Q2 2026</w:t>
            </w:r>
          </w:p>
        </w:tc>
        <w:tc>
          <w:tcPr>
            <w:tcW w:type="dxa" w:w="1080"/>
          </w:tcPr>
          <w:p>
            <w:r>
              <w:rPr>
                <w:rFonts w:ascii="Calibri" w:hAnsi="Calibri"/>
                <w:sz w:val="22"/>
              </w:rPr>
              <w:t>$1,406M</w:t>
            </w:r>
          </w:p>
        </w:tc>
        <w:tc>
          <w:tcPr>
            <w:tcW w:type="dxa" w:w="1080"/>
          </w:tcPr>
          <w:p>
            <w:r>
              <w:rPr>
                <w:rFonts w:ascii="Calibri" w:hAnsi="Calibri"/>
                <w:sz w:val="22"/>
              </w:rPr>
              <w:t>$1,406M</w:t>
            </w:r>
          </w:p>
        </w:tc>
        <w:tc>
          <w:tcPr>
            <w:tcW w:type="dxa" w:w="1080"/>
          </w:tcPr>
          <w:p>
            <w:r>
              <w:rPr>
                <w:rFonts w:ascii="Calibri" w:hAnsi="Calibri"/>
                <w:sz w:val="22"/>
              </w:rPr>
              <w:t>~0%</w:t>
            </w:r>
          </w:p>
        </w:tc>
        <w:tc>
          <w:tcPr>
            <w:tcW w:type="dxa" w:w="1080"/>
          </w:tcPr>
          <w:p>
            <w:r>
              <w:rPr>
                <w:rFonts w:ascii="Calibri" w:hAnsi="Calibri"/>
                <w:sz w:val="22"/>
              </w:rPr>
              <w:t>$1,395–$1,415M</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~0% (at midpoint)</w:t>
            </w:r>
          </w:p>
        </w:tc>
      </w:tr>
      <w:tr>
        <w:tc>
          <w:tcPr>
            <w:tcW w:type="dxa" w:w="1080"/>
          </w:tcPr>
          <w:p>
            <w:r>
              <w:rPr>
                <w:rFonts w:ascii="Calibri" w:hAnsi="Calibri"/>
                <w:sz w:val="22"/>
              </w:rPr>
              <w:t>Adj. EBITDA — FY 2026</w:t>
            </w:r>
          </w:p>
        </w:tc>
        <w:tc>
          <w:tcPr>
            <w:tcW w:type="dxa" w:w="1080"/>
          </w:tcPr>
          <w:p>
            <w:r>
              <w:rPr>
                <w:rFonts w:ascii="Calibri" w:hAnsi="Calibri"/>
                <w:sz w:val="22"/>
              </w:rPr>
              <w:t>$5,830M</w:t>
            </w:r>
          </w:p>
        </w:tc>
        <w:tc>
          <w:tcPr>
            <w:tcW w:type="dxa" w:w="1080"/>
          </w:tcPr>
          <w:p>
            <w:r>
              <w:rPr>
                <w:rFonts w:ascii="Calibri" w:hAnsi="Calibri"/>
                <w:sz w:val="22"/>
              </w:rPr>
              <w:t>$5,827M</w:t>
            </w:r>
          </w:p>
        </w:tc>
        <w:tc>
          <w:tcPr>
            <w:tcW w:type="dxa" w:w="1080"/>
          </w:tcPr>
          <w:p>
            <w:r>
              <w:rPr>
                <w:rFonts w:ascii="Calibri" w:hAnsi="Calibri"/>
                <w:sz w:val="22"/>
              </w:rPr>
              <w:t>-0.05%</w:t>
            </w:r>
          </w:p>
        </w:tc>
        <w:tc>
          <w:tcPr>
            <w:tcW w:type="dxa" w:w="1080"/>
          </w:tcPr>
          <w:p>
            <w:r>
              <w:rPr>
                <w:rFonts w:ascii="Calibri" w:hAnsi="Calibri"/>
                <w:sz w:val="22"/>
              </w:rPr>
              <w:t>$5,800–$5,860M</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~0% (at midpoint)</w:t>
            </w:r>
          </w:p>
        </w:tc>
      </w:tr>
      <w:tr>
        <w:tc>
          <w:tcPr>
            <w:tcW w:type="dxa" w:w="1080"/>
          </w:tcPr>
          <w:p>
            <w:r>
              <w:rPr>
                <w:rFonts w:ascii="Calibri" w:hAnsi="Calibri"/>
                <w:sz w:val="22"/>
              </w:rPr>
              <w:t>Adj. EPS — Q2 2026</w:t>
            </w:r>
          </w:p>
        </w:tc>
        <w:tc>
          <w:tcPr>
            <w:tcW w:type="dxa" w:w="1080"/>
          </w:tcPr>
          <w:p>
            <w:r>
              <w:rPr>
                <w:rFonts w:ascii="Calibri" w:hAnsi="Calibri"/>
                <w:sz w:val="22"/>
              </w:rPr>
              <w:t>$1.47</w:t>
            </w:r>
          </w:p>
        </w:tc>
        <w:tc>
          <w:tcPr>
            <w:tcW w:type="dxa" w:w="1080"/>
          </w:tcPr>
          <w:p>
            <w:r>
              <w:rPr>
                <w:rFonts w:ascii="Calibri" w:hAnsi="Calibri"/>
                <w:sz w:val="22"/>
              </w:rPr>
              <w:t>$1.47</w:t>
            </w:r>
          </w:p>
        </w:tc>
        <w:tc>
          <w:tcPr>
            <w:tcW w:type="dxa" w:w="1080"/>
          </w:tcPr>
          <w:p>
            <w:r>
              <w:rPr>
                <w:rFonts w:ascii="Calibri" w:hAnsi="Calibri"/>
                <w:sz w:val="22"/>
              </w:rPr>
              <w:t>~0%</w:t>
            </w:r>
          </w:p>
        </w:tc>
        <w:tc>
          <w:tcPr>
            <w:tcW w:type="dxa" w:w="1080"/>
          </w:tcPr>
          <w:p>
            <w:r>
              <w:rPr>
                <w:rFonts w:ascii="Calibri" w:hAnsi="Calibri"/>
                <w:sz w:val="22"/>
              </w:rPr>
              <w:t>$1.45–$1.49</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~0% (at midpoint)</w:t>
            </w:r>
          </w:p>
        </w:tc>
      </w:tr>
      <w:tr>
        <w:tc>
          <w:tcPr>
            <w:tcW w:type="dxa" w:w="1080"/>
          </w:tcPr>
          <w:p>
            <w:r>
              <w:rPr>
                <w:rFonts w:ascii="Calibri" w:hAnsi="Calibri"/>
                <w:sz w:val="22"/>
              </w:rPr>
              <w:t>Adj. EPS — FY 2026</w:t>
            </w:r>
          </w:p>
        </w:tc>
        <w:tc>
          <w:tcPr>
            <w:tcW w:type="dxa" w:w="1080"/>
          </w:tcPr>
          <w:p>
            <w:r>
              <w:rPr>
                <w:rFonts w:ascii="Calibri" w:hAnsi="Calibri"/>
                <w:sz w:val="22"/>
              </w:rPr>
              <w:t>$6.29</w:t>
            </w:r>
          </w:p>
        </w:tc>
        <w:tc>
          <w:tcPr>
            <w:tcW w:type="dxa" w:w="1080"/>
          </w:tcPr>
          <w:p>
            <w:r>
              <w:rPr>
                <w:rFonts w:ascii="Calibri" w:hAnsi="Calibri"/>
                <w:sz w:val="22"/>
              </w:rPr>
              <w:t>$6.30</w:t>
            </w:r>
          </w:p>
        </w:tc>
        <w:tc>
          <w:tcPr>
            <w:tcW w:type="dxa" w:w="1080"/>
          </w:tcPr>
          <w:p>
            <w:r>
              <w:rPr>
                <w:rFonts w:ascii="Calibri" w:hAnsi="Calibri"/>
                <w:sz w:val="22"/>
              </w:rPr>
              <w:t>+0.2%</w:t>
            </w:r>
          </w:p>
        </w:tc>
        <w:tc>
          <w:tcPr>
            <w:tcW w:type="dxa" w:w="1080"/>
          </w:tcPr>
          <w:p>
            <w:r>
              <w:rPr>
                <w:rFonts w:ascii="Calibri" w:hAnsi="Calibri"/>
                <w:sz w:val="22"/>
              </w:rPr>
              <w:t>$6.22–$6.32</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+0.3% above midpoint; near top of range</w:t>
            </w:r>
          </w:p>
        </w:tc>
      </w:tr>
      <w:tr>
        <w:tc>
          <w:tcPr>
            <w:tcW w:type="dxa" w:w="1080"/>
          </w:tcPr>
          <w:p>
            <w:r>
              <w:rPr>
                <w:rFonts w:ascii="Calibri" w:hAnsi="Calibri"/>
                <w:sz w:val="22"/>
              </w:rPr>
              <w:t>Free Cash Flow — FY 2026</w:t>
            </w:r>
          </w:p>
        </w:tc>
        <w:tc>
          <w:tcPr>
            <w:tcW w:type="dxa" w:w="1080"/>
          </w:tcPr>
          <w:p>
            <w:r>
              <w:rPr>
                <w:rFonts w:ascii="Calibri" w:hAnsi="Calibri"/>
                <w:sz w:val="22"/>
              </w:rPr>
              <w:t>$2,790M</w:t>
            </w:r>
          </w:p>
        </w:tc>
        <w:tc>
          <w:tcPr>
            <w:tcW w:type="dxa" w:w="1080"/>
          </w:tcPr>
          <w:p>
            <w:r>
              <w:rPr>
                <w:rFonts w:ascii="Calibri" w:hAnsi="Calibri"/>
                <w:sz w:val="22"/>
              </w:rPr>
              <w:t>$2,809M</w:t>
            </w:r>
          </w:p>
        </w:tc>
        <w:tc>
          <w:tcPr>
            <w:tcW w:type="dxa" w:w="1080"/>
          </w:tcPr>
          <w:p>
            <w:r>
              <w:rPr>
                <w:rFonts w:ascii="Calibri" w:hAnsi="Calibri"/>
                <w:sz w:val="22"/>
              </w:rPr>
              <w:t>+0.7%</w:t>
            </w:r>
          </w:p>
        </w:tc>
        <w:tc>
          <w:tcPr>
            <w:tcW w:type="dxa" w:w="1080"/>
          </w:tcPr>
          <w:p>
            <w:r>
              <w:rPr>
                <w:rFonts w:ascii="Calibri" w:hAnsi="Calibri"/>
                <w:sz w:val="22"/>
              </w:rPr>
              <w:t>$2,050–$2,150M</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Consensus materially above guidance; CFO flagged upside</w:t>
            </w:r>
          </w:p>
        </w:tc>
      </w:tr>
    </w:tbl>
    <w:p>
      <w:r>
        <w:rPr>
          <w:rFonts w:ascii="Calibri" w:hAnsi="Calibri"/>
          <w:color w:val="525866"/>
          <w:sz w:val="22"/>
        </w:rPr>
        <w:t>The estimate revision picture is remarkably clean: virtually no movement in revenue or EPS estimates since the Q1 print, suggesting the street has fully digested the Capital Markets lending headwind and is not pricing in further deterioration. The notable outlier is free cash flow, where the VA consensus of ~$2.8B sits well above the company's own $2.05–$2.15B guidance — consistent with the CFO's comment at the JP Morgan conference that one-time costs are tracking below plan and there is "a bunch of upside" in cash. This gap is a potential positive catalyst if Q2 FCF again outperforms.</w:t>
      </w:r>
    </w:p>
    <w:p>
      <w:r>
        <w:rPr>
          <w:rFonts w:ascii="Calibri" w:hAnsi="Calibri"/>
          <w:i/>
          <w:color w:val="525866"/>
          <w:sz w:val="22"/>
        </w:rPr>
        <w:t>Source: Visible Alpha Consensus and Actuals Data (as-of date May 15, 2026 for baseline; current as of August 3, 2026). Guidance from FIS Q1 2026 Earnings Release and Earnings Call (May 8, 2026).</w:t>
      </w:r>
    </w:p>
    <w:p>
      <w:r>
        <w:br w:type="page"/>
      </w:r>
    </w:p>
    <w:p>
      <w:pPr>
        <w:pStyle w:val="Heading2"/>
      </w:pPr>
      <w:r>
        <w:rPr>
          <w:rFonts w:ascii="Calibri" w:hAnsi="Calibri"/>
          <w:b/>
          <w:color w:val="3B4259"/>
          <w:sz w:val="28"/>
        </w:rPr>
        <w:t>5. Stock Performance</w:t>
      </w:r>
    </w:p>
    <w:p>
      <w:r>
        <w:rPr>
          <w:rFonts w:ascii="Calibri" w:hAnsi="Calibri"/>
          <w:b/>
          <w:color w:val="525866"/>
          <w:sz w:val="22"/>
        </w:rPr>
        <w:t xml:space="preserve">Key Takeaway: </w:t>
      </w:r>
      <w:r>
        <w:rPr>
          <w:rFonts w:ascii="Calibri" w:hAnsi="Calibri"/>
          <w:color w:val="525866"/>
          <w:sz w:val="22"/>
        </w:rPr>
        <w:t xml:space="preserve">FIS has dramatically underperformed both FINX and the S&amp;P 500 since the Q1 earnings date, driven almost entirely by </w:t>
      </w:r>
      <w:r>
        <w:rPr>
          <w:rFonts w:ascii="Calibri" w:hAnsi="Calibri"/>
          <w:b/>
          <w:color w:val="525866"/>
          <w:sz w:val="22"/>
        </w:rPr>
        <w:t>multiple compression</w:t>
      </w:r>
      <w:r>
        <w:rPr>
          <w:rFonts w:ascii="Calibri" w:hAnsi="Calibri"/>
          <w:color w:val="525866"/>
          <w:sz w:val="22"/>
        </w:rPr>
        <w:t xml:space="preserve"> (NTM EV/EBITDA contracted from ~8.7x to ~7.2x over 12 months) rather than estimate cuts. The stock is down ~18% over 6 months vs. the market, leaving valuation at historically depressed levels that could re-rate sharply on sustained execution.</w:t>
      </w:r>
    </w:p>
    <w:p>
      <w:r>
        <w:rPr>
          <w:rFonts w:ascii="Calibri" w:hAnsi="Calibri"/>
          <w:i/>
          <w:color w:val="525866"/>
          <w:sz w:val="22"/>
        </w:rPr>
        <w:t>The chart below shows FIS (dark navy), FINX — Global X FinTech ETF (mid-grey dashed), and S&amp;P 500 / SPY (light grey dashed), indexed to 100 at the Q1 2026 earnings date (May 8, 2026). Key events are marked with vertical dashed lines.</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Period</w:t>
            </w:r>
          </w:p>
        </w:tc>
        <w:tc>
          <w:tcPr>
            <w:tcW w:type="dxa" w:w="1728"/>
            <w:shd w:val="clear" w:color="auto" w:fill="3B4259"/>
          </w:tcPr>
          <w:p>
            <w:r>
              <w:rPr>
                <w:rFonts w:ascii="Calibri" w:hAnsi="Calibri"/>
                <w:b/>
                <w:color w:val="FFFFFF"/>
                <w:sz w:val="22"/>
              </w:rPr>
              <w:t>FIS Price</w:t>
            </w:r>
          </w:p>
        </w:tc>
        <w:tc>
          <w:tcPr>
            <w:tcW w:type="dxa" w:w="1728"/>
            <w:shd w:val="clear" w:color="auto" w:fill="3B4259"/>
          </w:tcPr>
          <w:p>
            <w:r>
              <w:rPr>
                <w:rFonts w:ascii="Calibri" w:hAnsi="Calibri"/>
                <w:b/>
                <w:color w:val="FFFFFF"/>
                <w:sz w:val="22"/>
              </w:rPr>
              <w:t>FIS Indexed</w:t>
            </w:r>
          </w:p>
        </w:tc>
        <w:tc>
          <w:tcPr>
            <w:tcW w:type="dxa" w:w="1728"/>
            <w:shd w:val="clear" w:color="auto" w:fill="3B4259"/>
          </w:tcPr>
          <w:p>
            <w:r>
              <w:rPr>
                <w:rFonts w:ascii="Calibri" w:hAnsi="Calibri"/>
                <w:b/>
                <w:color w:val="FFFFFF"/>
                <w:sz w:val="22"/>
              </w:rPr>
              <w:t>FINX Indexed</w:t>
            </w:r>
          </w:p>
        </w:tc>
        <w:tc>
          <w:tcPr>
            <w:tcW w:type="dxa" w:w="1728"/>
            <w:shd w:val="clear" w:color="auto" w:fill="3B4259"/>
          </w:tcPr>
          <w:p>
            <w:r>
              <w:rPr>
                <w:rFonts w:ascii="Calibri" w:hAnsi="Calibri"/>
                <w:b/>
                <w:color w:val="FFFFFF"/>
                <w:sz w:val="22"/>
              </w:rPr>
              <w:t>SPY Indexed</w:t>
            </w:r>
          </w:p>
        </w:tc>
      </w:tr>
      <w:tr>
        <w:tc>
          <w:tcPr>
            <w:tcW w:type="dxa" w:w="1728"/>
          </w:tcPr>
          <w:p>
            <w:r>
              <w:rPr>
                <w:rFonts w:ascii="Calibri" w:hAnsi="Calibri"/>
                <w:sz w:val="22"/>
              </w:rPr>
              <w:t>May 8, 2026 (Q1 Earnings)</w:t>
            </w:r>
          </w:p>
        </w:tc>
        <w:tc>
          <w:tcPr>
            <w:tcW w:type="dxa" w:w="1728"/>
          </w:tcPr>
          <w:p>
            <w:r>
              <w:rPr>
                <w:rFonts w:ascii="Calibri" w:hAnsi="Calibri"/>
                <w:sz w:val="22"/>
              </w:rPr>
              <w:t>$43.49</w:t>
            </w:r>
          </w:p>
        </w:tc>
        <w:tc>
          <w:tcPr>
            <w:tcW w:type="dxa" w:w="1728"/>
          </w:tcPr>
          <w:p>
            <w:r>
              <w:rPr>
                <w:rFonts w:ascii="Calibri" w:hAnsi="Calibri"/>
                <w:sz w:val="22"/>
              </w:rPr>
              <w:t>100.0</w:t>
            </w:r>
          </w:p>
        </w:tc>
        <w:tc>
          <w:tcPr>
            <w:tcW w:type="dxa" w:w="1728"/>
          </w:tcPr>
          <w:p>
            <w:r>
              <w:rPr>
                <w:rFonts w:ascii="Calibri" w:hAnsi="Calibri"/>
                <w:sz w:val="22"/>
              </w:rPr>
              <w:t>100.0</w:t>
            </w:r>
          </w:p>
        </w:tc>
        <w:tc>
          <w:tcPr>
            <w:tcW w:type="dxa" w:w="1728"/>
          </w:tcPr>
          <w:p>
            <w:r>
              <w:rPr>
                <w:rFonts w:ascii="Calibri" w:hAnsi="Calibri"/>
                <w:sz w:val="22"/>
              </w:rPr>
              <w:t>100.0</w:t>
            </w:r>
          </w:p>
        </w:tc>
      </w:tr>
      <w:tr>
        <w:tc>
          <w:tcPr>
            <w:tcW w:type="dxa" w:w="1728"/>
          </w:tcPr>
          <w:p>
            <w:r>
              <w:rPr>
                <w:rFonts w:ascii="Calibri" w:hAnsi="Calibri"/>
                <w:sz w:val="22"/>
              </w:rPr>
              <w:t>May 19, 2026 (JP Morgan Conference)</w:t>
            </w:r>
          </w:p>
        </w:tc>
        <w:tc>
          <w:tcPr>
            <w:tcW w:type="dxa" w:w="1728"/>
          </w:tcPr>
          <w:p>
            <w:r>
              <w:rPr>
                <w:rFonts w:ascii="Calibri" w:hAnsi="Calibri"/>
                <w:sz w:val="22"/>
              </w:rPr>
              <w:t>$43.50</w:t>
            </w:r>
          </w:p>
        </w:tc>
        <w:tc>
          <w:tcPr>
            <w:tcW w:type="dxa" w:w="1728"/>
          </w:tcPr>
          <w:p>
            <w:r>
              <w:rPr>
                <w:rFonts w:ascii="Calibri" w:hAnsi="Calibri"/>
                <w:sz w:val="22"/>
              </w:rPr>
              <w:t>100.0</w:t>
            </w:r>
          </w:p>
        </w:tc>
        <w:tc>
          <w:tcPr>
            <w:tcW w:type="dxa" w:w="1728"/>
          </w:tcPr>
          <w:p>
            <w:r>
              <w:rPr>
                <w:rFonts w:ascii="Calibri" w:hAnsi="Calibri"/>
                <w:sz w:val="22"/>
              </w:rPr>
              <w:t>96.3</w:t>
            </w:r>
          </w:p>
        </w:tc>
        <w:tc>
          <w:tcPr>
            <w:tcW w:type="dxa" w:w="1728"/>
          </w:tcPr>
          <w:p>
            <w:r>
              <w:rPr>
                <w:rFonts w:ascii="Calibri" w:hAnsi="Calibri"/>
                <w:sz w:val="22"/>
              </w:rPr>
              <w:t>99.5</w:t>
            </w:r>
          </w:p>
        </w:tc>
      </w:tr>
      <w:tr>
        <w:tc>
          <w:tcPr>
            <w:tcW w:type="dxa" w:w="1728"/>
          </w:tcPr>
          <w:p>
            <w:r>
              <w:rPr>
                <w:rFonts w:ascii="Calibri" w:hAnsi="Calibri"/>
                <w:sz w:val="22"/>
              </w:rPr>
              <w:t>June 9, 2026 (Mizuho Conference)</w:t>
            </w:r>
          </w:p>
        </w:tc>
        <w:tc>
          <w:tcPr>
            <w:tcW w:type="dxa" w:w="1728"/>
          </w:tcPr>
          <w:p>
            <w:r>
              <w:rPr>
                <w:rFonts w:ascii="Calibri" w:hAnsi="Calibri"/>
                <w:sz w:val="22"/>
              </w:rPr>
              <w:t>$39.98</w:t>
            </w:r>
          </w:p>
        </w:tc>
        <w:tc>
          <w:tcPr>
            <w:tcW w:type="dxa" w:w="1728"/>
          </w:tcPr>
          <w:p>
            <w:r>
              <w:rPr>
                <w:rFonts w:ascii="Calibri" w:hAnsi="Calibri"/>
                <w:sz w:val="22"/>
              </w:rPr>
              <w:t>91.9</w:t>
            </w:r>
          </w:p>
        </w:tc>
        <w:tc>
          <w:tcPr>
            <w:tcW w:type="dxa" w:w="1728"/>
          </w:tcPr>
          <w:p>
            <w:r>
              <w:rPr>
                <w:rFonts w:ascii="Calibri" w:hAnsi="Calibri"/>
                <w:sz w:val="22"/>
              </w:rPr>
              <w:t>92.7</w:t>
            </w:r>
          </w:p>
        </w:tc>
        <w:tc>
          <w:tcPr>
            <w:tcW w:type="dxa" w:w="1728"/>
          </w:tcPr>
          <w:p>
            <w:r>
              <w:rPr>
                <w:rFonts w:ascii="Calibri" w:hAnsi="Calibri"/>
                <w:sz w:val="22"/>
              </w:rPr>
              <w:t>99.9</w:t>
            </w:r>
          </w:p>
        </w:tc>
      </w:tr>
      <w:tr>
        <w:tc>
          <w:tcPr>
            <w:tcW w:type="dxa" w:w="1728"/>
          </w:tcPr>
          <w:p>
            <w:r>
              <w:rPr>
                <w:rFonts w:ascii="Calibri" w:hAnsi="Calibri"/>
                <w:sz w:val="22"/>
              </w:rPr>
              <w:t>June 18, 2026 (Legal Leadership Change 8-K)</w:t>
            </w:r>
          </w:p>
        </w:tc>
        <w:tc>
          <w:tcPr>
            <w:tcW w:type="dxa" w:w="1728"/>
          </w:tcPr>
          <w:p>
            <w:r>
              <w:rPr>
                <w:rFonts w:ascii="Calibri" w:hAnsi="Calibri"/>
                <w:sz w:val="22"/>
              </w:rPr>
              <w:t>$38.21</w:t>
            </w:r>
          </w:p>
        </w:tc>
        <w:tc>
          <w:tcPr>
            <w:tcW w:type="dxa" w:w="1728"/>
          </w:tcPr>
          <w:p>
            <w:r>
              <w:rPr>
                <w:rFonts w:ascii="Calibri" w:hAnsi="Calibri"/>
                <w:sz w:val="22"/>
              </w:rPr>
              <w:t>87.9</w:t>
            </w:r>
          </w:p>
        </w:tc>
        <w:tc>
          <w:tcPr>
            <w:tcW w:type="dxa" w:w="1728"/>
          </w:tcPr>
          <w:p>
            <w:r>
              <w:rPr>
                <w:rFonts w:ascii="Calibri" w:hAnsi="Calibri"/>
                <w:sz w:val="22"/>
              </w:rPr>
              <w:t>97.2</w:t>
            </w:r>
          </w:p>
        </w:tc>
        <w:tc>
          <w:tcPr>
            <w:tcW w:type="dxa" w:w="1728"/>
          </w:tcPr>
          <w:p>
            <w:r>
              <w:rPr>
                <w:rFonts w:ascii="Calibri" w:hAnsi="Calibri"/>
                <w:sz w:val="22"/>
              </w:rPr>
              <w:t>101.2</w:t>
            </w:r>
          </w:p>
        </w:tc>
      </w:tr>
      <w:tr>
        <w:tc>
          <w:tcPr>
            <w:tcW w:type="dxa" w:w="1728"/>
          </w:tcPr>
          <w:p>
            <w:r>
              <w:rPr>
                <w:rFonts w:ascii="Calibri" w:hAnsi="Calibri"/>
                <w:sz w:val="22"/>
              </w:rPr>
              <w:t>June 30, 2026 (Quarter End)</w:t>
            </w:r>
          </w:p>
        </w:tc>
        <w:tc>
          <w:tcPr>
            <w:tcW w:type="dxa" w:w="1728"/>
          </w:tcPr>
          <w:p>
            <w:r>
              <w:rPr>
                <w:rFonts w:ascii="Calibri" w:hAnsi="Calibri"/>
                <w:sz w:val="22"/>
              </w:rPr>
              <w:t>$38.88</w:t>
            </w:r>
          </w:p>
        </w:tc>
        <w:tc>
          <w:tcPr>
            <w:tcW w:type="dxa" w:w="1728"/>
          </w:tcPr>
          <w:p>
            <w:r>
              <w:rPr>
                <w:rFonts w:ascii="Calibri" w:hAnsi="Calibri"/>
                <w:sz w:val="22"/>
              </w:rPr>
              <w:t>89.4</w:t>
            </w:r>
          </w:p>
        </w:tc>
        <w:tc>
          <w:tcPr>
            <w:tcW w:type="dxa" w:w="1728"/>
          </w:tcPr>
          <w:p>
            <w:r>
              <w:rPr>
                <w:rFonts w:ascii="Calibri" w:hAnsi="Calibri"/>
                <w:sz w:val="22"/>
              </w:rPr>
              <w:t>96.1</w:t>
            </w:r>
          </w:p>
        </w:tc>
        <w:tc>
          <w:tcPr>
            <w:tcW w:type="dxa" w:w="1728"/>
          </w:tcPr>
          <w:p>
            <w:r>
              <w:rPr>
                <w:rFonts w:ascii="Calibri" w:hAnsi="Calibri"/>
                <w:sz w:val="22"/>
              </w:rPr>
              <w:t>101.2</w:t>
            </w:r>
          </w:p>
        </w:tc>
      </w:tr>
      <w:tr>
        <w:tc>
          <w:tcPr>
            <w:tcW w:type="dxa" w:w="1728"/>
          </w:tcPr>
          <w:p>
            <w:r>
              <w:rPr>
                <w:rFonts w:ascii="Calibri" w:hAnsi="Calibri"/>
                <w:sz w:val="22"/>
              </w:rPr>
              <w:t>July 15, 2026 (Director Open-Market Buy)</w:t>
            </w:r>
          </w:p>
        </w:tc>
        <w:tc>
          <w:tcPr>
            <w:tcW w:type="dxa" w:w="1728"/>
          </w:tcPr>
          <w:p>
            <w:r>
              <w:rPr>
                <w:rFonts w:ascii="Calibri" w:hAnsi="Calibri"/>
                <w:sz w:val="22"/>
              </w:rPr>
              <w:t>$41.10</w:t>
            </w:r>
          </w:p>
        </w:tc>
        <w:tc>
          <w:tcPr>
            <w:tcW w:type="dxa" w:w="1728"/>
          </w:tcPr>
          <w:p>
            <w:r>
              <w:rPr>
                <w:rFonts w:ascii="Calibri" w:hAnsi="Calibri"/>
                <w:sz w:val="22"/>
              </w:rPr>
              <w:t>94.5</w:t>
            </w:r>
          </w:p>
        </w:tc>
        <w:tc>
          <w:tcPr>
            <w:tcW w:type="dxa" w:w="1728"/>
          </w:tcPr>
          <w:p>
            <w:r>
              <w:rPr>
                <w:rFonts w:ascii="Calibri" w:hAnsi="Calibri"/>
                <w:sz w:val="22"/>
              </w:rPr>
              <w:t>101.6</w:t>
            </w:r>
          </w:p>
        </w:tc>
        <w:tc>
          <w:tcPr>
            <w:tcW w:type="dxa" w:w="1728"/>
          </w:tcPr>
          <w:p>
            <w:r>
              <w:rPr>
                <w:rFonts w:ascii="Calibri" w:hAnsi="Calibri"/>
                <w:sz w:val="22"/>
              </w:rPr>
              <w:t>102.3</w:t>
            </w:r>
          </w:p>
        </w:tc>
      </w:tr>
      <w:tr>
        <w:tc>
          <w:tcPr>
            <w:tcW w:type="dxa" w:w="1728"/>
          </w:tcPr>
          <w:p>
            <w:r>
              <w:rPr>
                <w:rFonts w:ascii="Calibri" w:hAnsi="Calibri"/>
                <w:sz w:val="22"/>
              </w:rPr>
              <w:t>August 4, 2026 (Earnings Day)</w:t>
            </w:r>
          </w:p>
        </w:tc>
        <w:tc>
          <w:tcPr>
            <w:tcW w:type="dxa" w:w="1728"/>
          </w:tcPr>
          <w:p>
            <w:r>
              <w:rPr>
                <w:rFonts w:ascii="Calibri" w:hAnsi="Calibri"/>
                <w:sz w:val="22"/>
              </w:rPr>
              <w:t>$44.78</w:t>
            </w:r>
          </w:p>
        </w:tc>
        <w:tc>
          <w:tcPr>
            <w:tcW w:type="dxa" w:w="1728"/>
          </w:tcPr>
          <w:p>
            <w:r>
              <w:rPr>
                <w:rFonts w:ascii="Calibri" w:hAnsi="Calibri"/>
                <w:sz w:val="22"/>
              </w:rPr>
              <w:t>102.9</w:t>
            </w:r>
          </w:p>
        </w:tc>
        <w:tc>
          <w:tcPr>
            <w:tcW w:type="dxa" w:w="1728"/>
          </w:tcPr>
          <w:p>
            <w:r>
              <w:rPr>
                <w:rFonts w:ascii="Calibri" w:hAnsi="Calibri"/>
                <w:sz w:val="22"/>
              </w:rPr>
              <w:t>102.2</w:t>
            </w:r>
          </w:p>
        </w:tc>
        <w:tc>
          <w:tcPr>
            <w:tcW w:type="dxa" w:w="1728"/>
          </w:tcPr>
          <w:p>
            <w:r>
              <w:rPr>
                <w:rFonts w:ascii="Calibri" w:hAnsi="Calibri"/>
                <w:sz w:val="22"/>
              </w:rPr>
              <w:t>102.7</w:t>
            </w:r>
          </w:p>
        </w:tc>
      </w:tr>
    </w:tbl>
    <w:p>
      <w:r>
        <w:rPr>
          <w:rFonts w:ascii="Calibri" w:hAnsi="Calibri"/>
          <w:b/>
          <w:color w:val="525866"/>
          <w:sz w:val="22"/>
        </w:rPr>
        <w:t xml:space="preserve">Performance Summary (May 8 – August 4, 2026): </w:t>
      </w:r>
      <w:r>
        <w:rPr>
          <w:rFonts w:ascii="Calibri" w:hAnsi="Calibri"/>
          <w:color w:val="525866"/>
          <w:sz w:val="22"/>
        </w:rPr>
        <w:t>FIS: +$1.29 / +3.0% | FINX: +2.2% | SPY: +2.7%. FIS broadly tracked the market and its fintech peer ETF over this window, recovering from a mid-June trough (stock hit ~$38.21 on June 18) to close near $44.78 on August 4. The mid-June weakness coincided with broader fintech sector pressure and a legal leadership change 8-K. The stock recovered sharply in late July, likely on improving sentiment ahead of earnings.</w:t>
      </w:r>
    </w:p>
    <w:p>
      <w:r>
        <w:rPr>
          <w:rFonts w:ascii="Calibri" w:hAnsi="Calibri"/>
          <w:b/>
          <w:color w:val="525866"/>
          <w:sz w:val="22"/>
        </w:rPr>
        <w:t xml:space="preserve">Valuation Context: </w:t>
      </w:r>
      <w:r>
        <w:rPr>
          <w:rFonts w:ascii="Calibri" w:hAnsi="Calibri"/>
          <w:color w:val="525866"/>
          <w:sz w:val="22"/>
        </w:rPr>
        <w:t>NTM EV/EBITDA of 7.2x as of August 3, 2026, vs. ~8.7x six months ago and ~11.9x twelve months ago. The 12-month multiple compression of ~40% has been the dominant driver of the stock's ~44% decline over that period, as EPS estimates have remained broadly stable. At current levels, the stock is pricing in continued execution risk rather than the improving fundamentals management has delivered.</w:t>
      </w:r>
    </w:p>
    <w:p>
      <w:r>
        <w:rPr>
          <w:rFonts w:ascii="Calibri" w:hAnsi="Calibri"/>
          <w:i/>
          <w:color w:val="525866"/>
          <w:sz w:val="22"/>
        </w:rPr>
        <w:t>Source: Stock Price Data (Yahoo Finance); Stock Performance Decomposition Data.</w:t>
      </w:r>
    </w:p>
    <w:p>
      <w:r>
        <w:br w:type="page"/>
      </w:r>
    </w:p>
    <w:p>
      <w:pPr>
        <w:pStyle w:val="Heading2"/>
      </w:pPr>
      <w:r>
        <w:rPr>
          <w:rFonts w:ascii="Calibri" w:hAnsi="Calibri"/>
          <w:b/>
          <w:color w:val="3B4259"/>
          <w:sz w:val="28"/>
        </w:rPr>
        <w:t>6. Material News &amp; Developments</w:t>
      </w:r>
    </w:p>
    <w:p>
      <w:r>
        <w:rPr>
          <w:rFonts w:ascii="Calibri" w:hAnsi="Calibri"/>
          <w:b/>
          <w:color w:val="525866"/>
          <w:sz w:val="22"/>
        </w:rPr>
        <w:t xml:space="preserve">Key Takeaway: </w:t>
      </w:r>
      <w:r>
        <w:rPr>
          <w:rFonts w:ascii="Calibri" w:hAnsi="Calibri"/>
          <w:color w:val="525866"/>
          <w:sz w:val="22"/>
        </w:rPr>
        <w:t xml:space="preserve">The most important development since Q1 earnings is the </w:t>
      </w:r>
      <w:r>
        <w:rPr>
          <w:rFonts w:ascii="Calibri" w:hAnsi="Calibri"/>
          <w:b/>
          <w:color w:val="525866"/>
          <w:sz w:val="22"/>
        </w:rPr>
        <w:t>Anthropic partnership and Project Keystone announcements</w:t>
      </w:r>
      <w:r>
        <w:rPr>
          <w:rFonts w:ascii="Calibri" w:hAnsi="Calibri"/>
          <w:color w:val="525866"/>
          <w:sz w:val="22"/>
        </w:rPr>
        <w:t xml:space="preserve"> at the Emerald client conference — both were received with significant client excitement but initially misread negatively by the market. The Fiserv debit network news is a notable read-through for FIS's own NYCE network strategic optionality.</w:t>
      </w:r>
    </w:p>
    <w:p>
      <w:pPr>
        <w:pStyle w:val="ListBullet"/>
        <w:ind w:left="360" w:hanging="360"/>
      </w:pPr>
      <w:r>
        <w:rPr>
          <w:rFonts w:ascii="Calibri" w:hAnsi="Calibri"/>
          <w:b/>
          <w:color w:val="525866"/>
          <w:sz w:val="22"/>
        </w:rPr>
        <w:t>May 8, 2026 — Q1 2026 Earnings Beat &amp; Full-Year Guidance Reiterated.</w:t>
      </w:r>
      <w:r>
        <w:rPr>
          <w:rFonts w:ascii="Calibri" w:hAnsi="Calibri"/>
          <w:color w:val="525866"/>
          <w:sz w:val="22"/>
        </w:rPr>
        <w:t xml:space="preserve"> FIS reported Q1 adjusted EPS of $1.36 (+5.4% vs. consensus of $1.29) and pro forma revenue growth of 6.5%, above the high end of guidance. Free cash flow of $474M more than doubled YoY. Full-year 2026 guidance reiterated across all metrics. </w:t>
      </w:r>
      <w:r>
        <w:rPr>
          <w:rFonts w:ascii="Calibri" w:hAnsi="Calibri"/>
          <w:i/>
          <w:color w:val="525866"/>
          <w:sz w:val="22"/>
        </w:rPr>
        <w:t>Implication:</w:t>
      </w:r>
      <w:r>
        <w:rPr>
          <w:rFonts w:ascii="Calibri" w:hAnsi="Calibri"/>
          <w:color w:val="525866"/>
          <w:sz w:val="22"/>
        </w:rPr>
        <w:t xml:space="preserve"> Strong Q1 sets a high bar for Q2 execution; market reaction was modestly negative on the day due to Capital Markets being guided to the bottom of its range.</w:t>
      </w:r>
    </w:p>
    <w:p>
      <w:pPr>
        <w:pStyle w:val="ListBullet"/>
        <w:ind w:left="360" w:hanging="360"/>
      </w:pPr>
      <w:r>
        <w:rPr>
          <w:rFonts w:ascii="Calibri" w:hAnsi="Calibri"/>
          <w:b/>
          <w:color w:val="525866"/>
          <w:sz w:val="22"/>
        </w:rPr>
        <w:t>May 8, 2026 — Anthropic Partnership Announced.</w:t>
      </w:r>
      <w:r>
        <w:rPr>
          <w:rFonts w:ascii="Calibri" w:hAnsi="Calibri"/>
          <w:color w:val="525866"/>
          <w:sz w:val="22"/>
        </w:rPr>
        <w:t xml:space="preserve"> FIS announced a "first-of-its-kind" partnership with Anthropic to co-build agentic AI for financial institutions, beginning with a Financial Crimes AI Agent (targeting 70–90% cost savings in AML/SAR workflows). BMO and Amalgamated Bank are design partners. FIS owns all IP; Anthropic compensated on token usage. No 2026 revenue in guidance; meaningful revenue expected in 2027. </w:t>
      </w:r>
      <w:r>
        <w:rPr>
          <w:rFonts w:ascii="Calibri" w:hAnsi="Calibri"/>
          <w:i/>
          <w:color w:val="525866"/>
          <w:sz w:val="22"/>
        </w:rPr>
        <w:t>Implication:</w:t>
      </w:r>
      <w:r>
        <w:rPr>
          <w:rFonts w:ascii="Calibri" w:hAnsi="Calibri"/>
          <w:color w:val="525866"/>
          <w:sz w:val="22"/>
        </w:rPr>
        <w:t xml:space="preserve"> Market initially misread this negatively; client reception was described as "breathtaking." Agent GA expected in H2 2026.</w:t>
      </w:r>
    </w:p>
    <w:p>
      <w:pPr>
        <w:pStyle w:val="ListBullet"/>
        <w:ind w:left="360" w:hanging="360"/>
      </w:pPr>
      <w:r>
        <w:rPr>
          <w:rFonts w:ascii="Calibri" w:hAnsi="Calibri"/>
          <w:b/>
          <w:color w:val="525866"/>
          <w:sz w:val="22"/>
        </w:rPr>
        <w:t>May 8, 2026 — Project Keystone Launched.</w:t>
      </w:r>
      <w:r>
        <w:rPr>
          <w:rFonts w:ascii="Calibri" w:hAnsi="Calibri"/>
          <w:color w:val="525866"/>
          <w:sz w:val="22"/>
        </w:rPr>
        <w:t xml:space="preserve"> FIS unveiled a bank-owned tokenized deposit network with six U.S. banks including Citizens, Fifth Third, and Huntington. Positioned as a regulated alternative to stablecoins. </w:t>
      </w:r>
      <w:r>
        <w:rPr>
          <w:rFonts w:ascii="Calibri" w:hAnsi="Calibri"/>
          <w:i/>
          <w:color w:val="525866"/>
          <w:sz w:val="22"/>
        </w:rPr>
        <w:t>Implication:</w:t>
      </w:r>
      <w:r>
        <w:rPr>
          <w:rFonts w:ascii="Calibri" w:hAnsi="Calibri"/>
          <w:color w:val="525866"/>
          <w:sz w:val="22"/>
        </w:rPr>
        <w:t xml:space="preserve"> Positions FIS as the regulated infrastructure layer for digital currency in banking; strong demand from additional banks wanting to join.</w:t>
      </w:r>
    </w:p>
    <w:p>
      <w:pPr>
        <w:pStyle w:val="ListBullet"/>
        <w:ind w:left="360" w:hanging="360"/>
      </w:pPr>
      <w:r>
        <w:rPr>
          <w:rFonts w:ascii="Calibri" w:hAnsi="Calibri"/>
          <w:b/>
          <w:color w:val="525866"/>
          <w:sz w:val="22"/>
        </w:rPr>
        <w:t>May 19, 2026 — JP Morgan Global Technology Conference.</w:t>
      </w:r>
      <w:r>
        <w:rPr>
          <w:rFonts w:ascii="Calibri" w:hAnsi="Calibri"/>
          <w:color w:val="525866"/>
          <w:sz w:val="22"/>
        </w:rPr>
        <w:t xml:space="preserve"> CFO James Kehoe stated Q2 will "substantially de-risk the full year," flagged one-time costs tracking below plan, and described free cash flow as having "a bunch of upside." CEO Ferris described banking demand as the strongest since before the GFC. </w:t>
      </w:r>
      <w:r>
        <w:rPr>
          <w:rFonts w:ascii="Calibri" w:hAnsi="Calibri"/>
          <w:i/>
          <w:color w:val="525866"/>
          <w:sz w:val="22"/>
        </w:rPr>
        <w:t>Implication:</w:t>
      </w:r>
      <w:r>
        <w:rPr>
          <w:rFonts w:ascii="Calibri" w:hAnsi="Calibri"/>
          <w:color w:val="525866"/>
          <w:sz w:val="22"/>
        </w:rPr>
        <w:t xml:space="preserve"> Incrementally positive tone; management confidence in full-year delivery is high.</w:t>
      </w:r>
    </w:p>
    <w:p>
      <w:pPr>
        <w:pStyle w:val="ListBullet"/>
        <w:ind w:left="360" w:hanging="360"/>
      </w:pPr>
      <w:r>
        <w:rPr>
          <w:rFonts w:ascii="Calibri" w:hAnsi="Calibri"/>
          <w:b/>
          <w:color w:val="525866"/>
          <w:sz w:val="22"/>
        </w:rPr>
        <w:t>June 9, 2026 — Mizuho Technology Conference.</w:t>
      </w:r>
      <w:r>
        <w:rPr>
          <w:rFonts w:ascii="Calibri" w:hAnsi="Calibri"/>
          <w:color w:val="525866"/>
          <w:sz w:val="22"/>
        </w:rPr>
        <w:t xml:space="preserve"> CEO Ferris described a "generational moment" in banking driven by deregulation, record bank M&amp;A, and AI adoption. Confirmed 65% of revenue renewed through 2029. Reiterated no M&amp;A until leverage reaches 2.8x target (end of 2027). Flagged rising AI and cybersecurity costs as industry-wide risks. </w:t>
      </w:r>
      <w:r>
        <w:rPr>
          <w:rFonts w:ascii="Calibri" w:hAnsi="Calibri"/>
          <w:i/>
          <w:color w:val="525866"/>
          <w:sz w:val="22"/>
        </w:rPr>
        <w:t>Implication:</w:t>
      </w:r>
      <w:r>
        <w:rPr>
          <w:rFonts w:ascii="Calibri" w:hAnsi="Calibri"/>
          <w:color w:val="525866"/>
          <w:sz w:val="22"/>
        </w:rPr>
        <w:t xml:space="preserve"> Demand environment commentary is the most bullish in years; deleveraging focus limits capital return optionality near-term.</w:t>
      </w:r>
    </w:p>
    <w:p>
      <w:pPr>
        <w:pStyle w:val="ListBullet"/>
        <w:ind w:left="360" w:hanging="360"/>
      </w:pPr>
      <w:r>
        <w:rPr>
          <w:rFonts w:ascii="Calibri" w:hAnsi="Calibri"/>
          <w:b/>
          <w:color w:val="525866"/>
          <w:sz w:val="22"/>
        </w:rPr>
        <w:t>June 12, 2026 — Annual Shareholder Meeting.</w:t>
      </w:r>
      <w:r>
        <w:rPr>
          <w:rFonts w:ascii="Calibri" w:hAnsi="Calibri"/>
          <w:color w:val="525866"/>
          <w:sz w:val="22"/>
        </w:rPr>
        <w:t xml:space="preserve"> Shareholders backed board nominees, auditor, and executive compensation. No material governance changes. </w:t>
      </w:r>
      <w:r>
        <w:rPr>
          <w:rFonts w:ascii="Calibri" w:hAnsi="Calibri"/>
          <w:i/>
          <w:color w:val="525866"/>
          <w:sz w:val="22"/>
        </w:rPr>
        <w:t>Implication:</w:t>
      </w:r>
      <w:r>
        <w:rPr>
          <w:rFonts w:ascii="Calibri" w:hAnsi="Calibri"/>
          <w:color w:val="525866"/>
          <w:sz w:val="22"/>
        </w:rPr>
        <w:t xml:space="preserve"> Routine; no overhang.</w:t>
      </w:r>
    </w:p>
    <w:p>
      <w:pPr>
        <w:pStyle w:val="ListBullet"/>
        <w:ind w:left="360" w:hanging="360"/>
      </w:pPr>
      <w:r>
        <w:rPr>
          <w:rFonts w:ascii="Calibri" w:hAnsi="Calibri"/>
          <w:b/>
          <w:color w:val="525866"/>
          <w:sz w:val="22"/>
        </w:rPr>
        <w:t>June 18, 2026 — Legal Leadership Change (8-K).</w:t>
      </w:r>
      <w:r>
        <w:rPr>
          <w:rFonts w:ascii="Calibri" w:hAnsi="Calibri"/>
          <w:color w:val="525866"/>
          <w:sz w:val="22"/>
        </w:rPr>
        <w:t xml:space="preserve"> FIS announced a change in legal leadership. </w:t>
      </w:r>
      <w:r>
        <w:rPr>
          <w:rFonts w:ascii="Calibri" w:hAnsi="Calibri"/>
          <w:i/>
          <w:color w:val="525866"/>
          <w:sz w:val="22"/>
        </w:rPr>
        <w:t>Implication:</w:t>
      </w:r>
      <w:r>
        <w:rPr>
          <w:rFonts w:ascii="Calibri" w:hAnsi="Calibri"/>
          <w:color w:val="525866"/>
          <w:sz w:val="22"/>
        </w:rPr>
        <w:t xml:space="preserve"> Routine leadership transition; no disclosed strategic rationale beyond normal succession.</w:t>
      </w:r>
    </w:p>
    <w:p>
      <w:pPr>
        <w:pStyle w:val="ListBullet"/>
        <w:ind w:left="360" w:hanging="360"/>
      </w:pPr>
      <w:r>
        <w:rPr>
          <w:rFonts w:ascii="Calibri" w:hAnsi="Calibri"/>
          <w:b/>
          <w:color w:val="525866"/>
          <w:sz w:val="22"/>
        </w:rPr>
        <w:t>July 7, 2026 — Fiserv Debit Network Acquisition Reports (Read-Through).</w:t>
      </w:r>
      <w:r>
        <w:rPr>
          <w:rFonts w:ascii="Calibri" w:hAnsi="Calibri"/>
          <w:color w:val="525866"/>
          <w:sz w:val="22"/>
        </w:rPr>
        <w:t xml:space="preserve"> Reports emerged that major U.S. banks including JPMorgan Chase and Bank of America are exploring an acquisition of Fiserv's debit card network. Fiserv stock jumped on the news. </w:t>
      </w:r>
      <w:r>
        <w:rPr>
          <w:rFonts w:ascii="Calibri" w:hAnsi="Calibri"/>
          <w:i/>
          <w:color w:val="525866"/>
          <w:sz w:val="22"/>
        </w:rPr>
        <w:t>Implication:</w:t>
      </w:r>
      <w:r>
        <w:rPr>
          <w:rFonts w:ascii="Calibri" w:hAnsi="Calibri"/>
          <w:color w:val="525866"/>
          <w:sz w:val="22"/>
        </w:rPr>
        <w:t xml:space="preserve"> Direct read-through for FIS's NYCE debit network, which management has described as a high-margin, high-recurring business with strong recent sales momentum. Management has flagged openness to strategic partnerships around network usage (citing the Capital One/Discover/Pulse combination as a model). This news validates the strategic value of bank-owned debit network assets.</w:t>
      </w:r>
    </w:p>
    <w:p>
      <w:pPr>
        <w:pStyle w:val="ListBullet"/>
        <w:ind w:left="360" w:hanging="360"/>
      </w:pPr>
      <w:r>
        <w:rPr>
          <w:rFonts w:ascii="Calibri" w:hAnsi="Calibri"/>
          <w:b/>
          <w:color w:val="525866"/>
          <w:sz w:val="22"/>
        </w:rPr>
        <w:t>July 13, 2026 — Q2 2026 Earnings Date Confirmed.</w:t>
      </w:r>
      <w:r>
        <w:rPr>
          <w:rFonts w:ascii="Calibri" w:hAnsi="Calibri"/>
          <w:color w:val="525866"/>
          <w:sz w:val="22"/>
        </w:rPr>
        <w:t xml:space="preserve"> FIS confirmed August 4, 2026 as the Q2 2026 earnings date. No other material disclosures.</w:t>
      </w:r>
    </w:p>
    <w:p>
      <w:r>
        <w:br w:type="page"/>
      </w:r>
    </w:p>
    <w:p>
      <w:pPr>
        <w:pStyle w:val="Heading2"/>
      </w:pPr>
      <w:r>
        <w:rPr>
          <w:rFonts w:ascii="Calibri" w:hAnsi="Calibri"/>
          <w:b/>
          <w:color w:val="3B4259"/>
          <w:sz w:val="28"/>
        </w:rPr>
        <w:t>7. Peer Commentary &amp; Read-Throughs</w:t>
      </w:r>
    </w:p>
    <w:p>
      <w:r>
        <w:rPr>
          <w:rFonts w:ascii="Calibri" w:hAnsi="Calibri"/>
          <w:b/>
          <w:color w:val="525866"/>
          <w:sz w:val="22"/>
        </w:rPr>
        <w:t xml:space="preserve">Key Takeaway: </w:t>
      </w:r>
      <w:r>
        <w:rPr>
          <w:rFonts w:ascii="Calibri" w:hAnsi="Calibri"/>
          <w:color w:val="525866"/>
          <w:sz w:val="22"/>
        </w:rPr>
        <w:t xml:space="preserve">Peer commentary from the last 60 days is broadly </w:t>
      </w:r>
      <w:r>
        <w:rPr>
          <w:rFonts w:ascii="Calibri" w:hAnsi="Calibri"/>
          <w:b/>
          <w:color w:val="525866"/>
          <w:sz w:val="22"/>
        </w:rPr>
        <w:t>constructive for FIS</w:t>
      </w:r>
      <w:r>
        <w:rPr>
          <w:rFonts w:ascii="Calibri" w:hAnsi="Calibri"/>
          <w:color w:val="525866"/>
          <w:sz w:val="22"/>
        </w:rPr>
        <w:t xml:space="preserve">. Visa and Mastercard both reported strong Q2 consumer spending and payment volumes, validating the healthy banking demand environment FIS management described. Visa's Pismo update (DPS full-service credit piloting in Q4 2026 for fintechs and small-to-midsize banks) is the most important competitive read-through — it confirms Pismo is moving into credit processing but targeting a different market tier than FIS's large-institution focus. Global Payments' Worldpay integration commentary is relevant context for the divested asset. </w:t>
      </w:r>
      <w:r>
        <w:rPr>
          <w:rFonts w:ascii="Calibri" w:hAnsi="Calibri"/>
          <w:i/>
          <w:color w:val="525866"/>
          <w:sz w:val="22"/>
        </w:rPr>
        <w:t>Note: Only commentary addressing April–June 2026 activity or post-Q1 forward outlook is included below; prior-quarter results commentary is excluded.</w:t>
      </w:r>
    </w:p>
    <w:p>
      <w:pPr>
        <w:pStyle w:val="Heading3"/>
      </w:pPr>
      <w:r>
        <w:rPr>
          <w:rFonts w:ascii="Calibri" w:hAnsi="Calibri"/>
          <w:b/>
          <w:color w:val="3B4259"/>
          <w:sz w:val="24"/>
        </w:rPr>
        <w:t>Visa (V) — Q3 FY2026 Earnings (July 28, 2026; covers April–June 2026)</w:t>
      </w:r>
    </w:p>
    <w:p>
      <w:r>
        <w:rPr>
          <w:rFonts w:ascii="Calibri" w:hAnsi="Calibri"/>
          <w:b/>
          <w:color w:val="525866"/>
          <w:sz w:val="22"/>
        </w:rPr>
        <w:t xml:space="preserve">Relevance to FIS: </w:t>
      </w:r>
      <w:r>
        <w:rPr>
          <w:rFonts w:ascii="Calibri" w:hAnsi="Calibri"/>
          <w:color w:val="525866"/>
          <w:sz w:val="22"/>
        </w:rPr>
        <w:t>Visa's fiscal Q3 covers the same April–June 2026 calendar period as FIS's Q2. Visa's payment volume and consumer spending data is the most direct read-through for FIS's Banking Payments sub-segment and overall transaction processing volumes.</w:t>
      </w:r>
    </w:p>
    <w:p>
      <w:pPr>
        <w:pStyle w:val="ListBullet"/>
        <w:ind w:left="360" w:hanging="360"/>
      </w:pPr>
      <w:r>
        <w:rPr>
          <w:rFonts w:ascii="Calibri" w:hAnsi="Calibri"/>
          <w:b/>
          <w:color w:val="525866"/>
          <w:sz w:val="22"/>
        </w:rPr>
        <w:t>Consumer spending remained strong and resilient in Q2 (April–June 2026).</w:t>
      </w:r>
      <w:r>
        <w:rPr>
          <w:rFonts w:ascii="Calibri" w:hAnsi="Calibri"/>
          <w:color w:val="525866"/>
          <w:sz w:val="22"/>
        </w:rPr>
        <w:t xml:space="preserve"> Visa's quarterly payments volume grew 10% YoY in constant dollars, crossing $4 trillion for the first time. U.S. payment volume grew 10% YoY — a rate not seen since fiscal 2019 (ex-COVID recovery). Both discretionary and non-discretionary spend remained strong with no signs of weakening among lower-spend consumers. </w:t>
      </w:r>
      <w:r>
        <w:rPr>
          <w:rFonts w:ascii="Calibri" w:hAnsi="Calibri"/>
          <w:i/>
          <w:color w:val="525866"/>
          <w:sz w:val="22"/>
        </w:rPr>
        <w:t>FIS read-through:</w:t>
      </w:r>
      <w:r>
        <w:rPr>
          <w:rFonts w:ascii="Calibri" w:hAnsi="Calibri"/>
          <w:color w:val="525866"/>
          <w:sz w:val="22"/>
        </w:rPr>
        <w:t xml:space="preserve"> Healthy consumer spending supports FIS's Banking Payments sub-segment transaction volumes and fee-based revenue. No macro-driven demand deterioration in the quarter.</w:t>
      </w:r>
    </w:p>
    <w:p>
      <w:pPr>
        <w:pStyle w:val="ListBullet"/>
        <w:ind w:left="360" w:hanging="360"/>
      </w:pPr>
      <w:r>
        <w:rPr>
          <w:rFonts w:ascii="Calibri" w:hAnsi="Calibri"/>
          <w:b/>
          <w:color w:val="525866"/>
          <w:sz w:val="22"/>
        </w:rPr>
        <w:t>U.S. credit grew 11% YoY; debit accelerated to 9% YoY.</w:t>
      </w:r>
      <w:r>
        <w:rPr>
          <w:rFonts w:ascii="Calibri" w:hAnsi="Calibri"/>
          <w:color w:val="525866"/>
          <w:sz w:val="22"/>
        </w:rPr>
        <w:t xml:space="preserve"> Both card-present and card-not-present growth accelerated. Commercial debit and credit volumes grew 12% in Q2. </w:t>
      </w:r>
      <w:r>
        <w:rPr>
          <w:rFonts w:ascii="Calibri" w:hAnsi="Calibri"/>
          <w:i/>
          <w:color w:val="525866"/>
          <w:sz w:val="22"/>
        </w:rPr>
        <w:t>FIS read-through:</w:t>
      </w:r>
      <w:r>
        <w:rPr>
          <w:rFonts w:ascii="Calibri" w:hAnsi="Calibri"/>
          <w:color w:val="525866"/>
          <w:sz w:val="22"/>
        </w:rPr>
        <w:t xml:space="preserve"> Strong credit and debit volume growth is a direct positive for FIS's card processing and NYCE debit network businesses.</w:t>
      </w:r>
    </w:p>
    <w:p>
      <w:pPr>
        <w:pStyle w:val="ListBullet"/>
        <w:ind w:left="360" w:hanging="360"/>
      </w:pPr>
      <w:r>
        <w:rPr>
          <w:rFonts w:ascii="Calibri" w:hAnsi="Calibri"/>
          <w:b/>
          <w:color w:val="525866"/>
          <w:sz w:val="22"/>
        </w:rPr>
        <w:t>Pismo competitive update: DPS full-service credit piloting in Q4 2026 for fintechs and small-to-midsize banks.</w:t>
      </w:r>
      <w:r>
        <w:rPr>
          <w:rFonts w:ascii="Calibri" w:hAnsi="Calibri"/>
          <w:color w:val="525866"/>
          <w:sz w:val="22"/>
        </w:rPr>
        <w:t xml:space="preserve"> Visa confirmed it is expanding issuer processing capabilities by integrating Visa DPS and Pismo into a combined credit issuer processing solution. The first U.S. client is secured for a Q4 2026 pilot; general availability is planned for next year. Visa also confirmed Pismo has entered 19 new international markets since acquisition. </w:t>
      </w:r>
      <w:r>
        <w:rPr>
          <w:rFonts w:ascii="Calibri" w:hAnsi="Calibri"/>
          <w:i/>
          <w:color w:val="525866"/>
          <w:sz w:val="22"/>
        </w:rPr>
        <w:t>FIS read-through:</w:t>
      </w:r>
      <w:r>
        <w:rPr>
          <w:rFonts w:ascii="Calibri" w:hAnsi="Calibri"/>
          <w:color w:val="525866"/>
          <w:sz w:val="22"/>
        </w:rPr>
        <w:t xml:space="preserve"> This is the most important competitive data point. Pismo's U.S. credit processing target is explicitly fintechs and small-to-midsize banks — not the large financial institutions that are FIS's core market. This is consistent with FIS management's characterization of Pismo as "more down market." However, the international Pismo expansion (19 new markets) is a more direct competitive threat to FIS's Prime international credit processing platform. FIS management has flagged Visa's Prisma acquisition as relevant internationally while expressing confidence in Prime's competitiveness.</w:t>
      </w:r>
    </w:p>
    <w:p>
      <w:pPr>
        <w:pStyle w:val="ListBullet"/>
        <w:ind w:left="360" w:hanging="360"/>
      </w:pPr>
      <w:r>
        <w:rPr>
          <w:rFonts w:ascii="Calibri" w:hAnsi="Calibri"/>
          <w:b/>
          <w:color w:val="525866"/>
          <w:sz w:val="22"/>
        </w:rPr>
        <w:t>Stablecoin and tokenized deposit infrastructure: Visa Stablecoin Platform infrastructure will integrate with Pismo to enable tokenized deposits for financial institutions.</w:t>
      </w:r>
      <w:r>
        <w:rPr>
          <w:rFonts w:ascii="Calibri" w:hAnsi="Calibri"/>
          <w:color w:val="525866"/>
          <w:sz w:val="22"/>
        </w:rPr>
        <w:t xml:space="preserve"> Visa joined Open Standard (Open USD stablecoin) and launched a stablecoin platform for minting, movement, and management. </w:t>
      </w:r>
      <w:r>
        <w:rPr>
          <w:rFonts w:ascii="Calibri" w:hAnsi="Calibri"/>
          <w:i/>
          <w:color w:val="525866"/>
          <w:sz w:val="22"/>
        </w:rPr>
        <w:t>FIS read-through:</w:t>
      </w:r>
      <w:r>
        <w:rPr>
          <w:rFonts w:ascii="Calibri" w:hAnsi="Calibri"/>
          <w:color w:val="525866"/>
          <w:sz w:val="22"/>
        </w:rPr>
        <w:t xml:space="preserve"> Visa is building competing tokenized deposit infrastructure through Pismo. FIS's Project Keystone (bank-owned tokenized deposit network with six U.S. banks) is a direct competitive response. The race to be the regulated infrastructure layer for digital currency in banking is intensifying.</w:t>
      </w:r>
    </w:p>
    <w:p>
      <w:pPr>
        <w:pStyle w:val="ListBullet"/>
        <w:ind w:left="360" w:hanging="360"/>
      </w:pPr>
      <w:r>
        <w:rPr>
          <w:rFonts w:ascii="Calibri" w:hAnsi="Calibri"/>
          <w:b/>
          <w:color w:val="525866"/>
          <w:sz w:val="22"/>
        </w:rPr>
        <w:t>AI-driven productivity: Visa reported 80% more code commits, 65%+ faster feature development from agentic AI squads.</w:t>
      </w:r>
      <w:r>
        <w:rPr>
          <w:rFonts w:ascii="Calibri" w:hAnsi="Calibri"/>
          <w:color w:val="525866"/>
          <w:sz w:val="22"/>
        </w:rPr>
        <w:t xml:space="preserve"> Visa now has 150+ AI-powered applications and shipped 300+ major product releases in the last 12 months. </w:t>
      </w:r>
      <w:r>
        <w:rPr>
          <w:rFonts w:ascii="Calibri" w:hAnsi="Calibri"/>
          <w:i/>
          <w:color w:val="525866"/>
          <w:sz w:val="22"/>
        </w:rPr>
        <w:t>FIS read-through:</w:t>
      </w:r>
      <w:r>
        <w:rPr>
          <w:rFonts w:ascii="Calibri" w:hAnsi="Calibri"/>
          <w:color w:val="525866"/>
          <w:sz w:val="22"/>
        </w:rPr>
        <w:t xml:space="preserve"> Validates FIS's own AI investment thesis (Anthropic partnership, internal Copilot deployment). The pace of AI-driven product development across the industry is accelerating, raising the competitive bar.</w:t>
      </w:r>
    </w:p>
    <w:p>
      <w:pPr>
        <w:pStyle w:val="ListBullet"/>
        <w:ind w:left="360" w:hanging="360"/>
      </w:pPr>
      <w:r>
        <w:rPr>
          <w:rFonts w:ascii="Calibri" w:hAnsi="Calibri"/>
          <w:b/>
          <w:color w:val="525866"/>
          <w:sz w:val="22"/>
        </w:rPr>
        <w:t>Increased demand for security solutions driven by AI threat proliferation.</w:t>
      </w:r>
      <w:r>
        <w:rPr>
          <w:rFonts w:ascii="Calibri" w:hAnsi="Calibri"/>
          <w:color w:val="525866"/>
          <w:sz w:val="22"/>
        </w:rPr>
        <w:t xml:space="preserve"> Visa cited "increased demand for robust and unique security solutions as clients navigate the ever-expanding threat landscape" driven by AI and new frontier models. </w:t>
      </w:r>
      <w:r>
        <w:rPr>
          <w:rFonts w:ascii="Calibri" w:hAnsi="Calibri"/>
          <w:i/>
          <w:color w:val="525866"/>
          <w:sz w:val="22"/>
        </w:rPr>
        <w:t>FIS read-through:</w:t>
      </w:r>
      <w:r>
        <w:rPr>
          <w:rFonts w:ascii="Calibri" w:hAnsi="Calibri"/>
          <w:color w:val="525866"/>
          <w:sz w:val="22"/>
        </w:rPr>
        <w:t xml:space="preserve"> Directly validates FIS CEO Ferris's comment at the Mizuho conference that cybersecurity costs are "going to go up astronomically" and that FIS's scale is a competitive advantage in absorbing these costs on behalf of bank clients.</w:t>
      </w:r>
    </w:p>
    <w:p>
      <w:pPr>
        <w:pStyle w:val="Heading3"/>
      </w:pPr>
      <w:r>
        <w:rPr>
          <w:rFonts w:ascii="Calibri" w:hAnsi="Calibri"/>
          <w:b/>
          <w:color w:val="3B4259"/>
          <w:sz w:val="24"/>
        </w:rPr>
        <w:t>Mastercard (MA) — Q2 2026 Earnings (July 30, 2026; covers April–June 2026)</w:t>
      </w:r>
    </w:p>
    <w:p>
      <w:r>
        <w:rPr>
          <w:rFonts w:ascii="Calibri" w:hAnsi="Calibri"/>
          <w:b/>
          <w:color w:val="525866"/>
          <w:sz w:val="22"/>
        </w:rPr>
        <w:t xml:space="preserve">Relevance to FIS: </w:t>
      </w:r>
      <w:r>
        <w:rPr>
          <w:rFonts w:ascii="Calibri" w:hAnsi="Calibri"/>
          <w:color w:val="525866"/>
          <w:sz w:val="22"/>
        </w:rPr>
        <w:t>Mastercard's Q2 covers the same April–June 2026 calendar period as FIS's Q2. Mastercard's consumer spending, cross-border, and bank technology demand commentary is a direct read-through for FIS's Banking Payments sub-segment.</w:t>
      </w:r>
    </w:p>
    <w:p>
      <w:pPr>
        <w:pStyle w:val="ListBullet"/>
        <w:ind w:left="360" w:hanging="360"/>
      </w:pPr>
      <w:r>
        <w:rPr>
          <w:rFonts w:ascii="Calibri" w:hAnsi="Calibri"/>
          <w:b/>
          <w:color w:val="525866"/>
          <w:sz w:val="22"/>
        </w:rPr>
        <w:t>Strong Q2 with net revenues up 12% YoY (currency-neutral); macro environment described as "supportive."</w:t>
      </w:r>
      <w:r>
        <w:rPr>
          <w:rFonts w:ascii="Calibri" w:hAnsi="Calibri"/>
          <w:color w:val="525866"/>
          <w:sz w:val="22"/>
        </w:rPr>
        <w:t xml:space="preserve"> Worldwide GDV grew 8% YoY in local currency. U.S. GDV grew 6% (credit +10%, debit +1%; debit would have been +8% ex-Capital One migration). Switched transactions grew 9% YoY. </w:t>
      </w:r>
      <w:r>
        <w:rPr>
          <w:rFonts w:ascii="Calibri" w:hAnsi="Calibri"/>
          <w:i/>
          <w:color w:val="525866"/>
          <w:sz w:val="22"/>
        </w:rPr>
        <w:t>FIS read-through:</w:t>
      </w:r>
      <w:r>
        <w:rPr>
          <w:rFonts w:ascii="Calibri" w:hAnsi="Calibri"/>
          <w:color w:val="525866"/>
          <w:sz w:val="22"/>
        </w:rPr>
        <w:t xml:space="preserve"> Healthy payment volumes across the quarter confirm no macro-driven demand deterioration. The Capital One debit portfolio migration (to Discover/Pulse network) is a minor headwind for Mastercard debit but is a read-through for the ongoing bank debit network consolidation trend that FIS's NYCE network is positioned to benefit from.</w:t>
      </w:r>
    </w:p>
    <w:p>
      <w:pPr>
        <w:pStyle w:val="ListBullet"/>
        <w:ind w:left="360" w:hanging="360"/>
      </w:pPr>
      <w:r>
        <w:rPr>
          <w:rFonts w:ascii="Calibri" w:hAnsi="Calibri"/>
          <w:b/>
          <w:color w:val="525866"/>
          <w:sz w:val="22"/>
        </w:rPr>
        <w:t>Cross-border volume grew 12% globally; travel and non-travel both strong.</w:t>
      </w:r>
      <w:r>
        <w:rPr>
          <w:rFonts w:ascii="Calibri" w:hAnsi="Calibri"/>
          <w:color w:val="525866"/>
          <w:sz w:val="22"/>
        </w:rPr>
        <w:t xml:space="preserve"> Cross-border card-not-present (ex-travel) grew 20%. Middle East conflict created some headwind but was offset by FIFA World Cup-related spend. </w:t>
      </w:r>
      <w:r>
        <w:rPr>
          <w:rFonts w:ascii="Calibri" w:hAnsi="Calibri"/>
          <w:i/>
          <w:color w:val="525866"/>
          <w:sz w:val="22"/>
        </w:rPr>
        <w:t>FIS read-through:</w:t>
      </w:r>
      <w:r>
        <w:rPr>
          <w:rFonts w:ascii="Calibri" w:hAnsi="Calibri"/>
          <w:color w:val="525866"/>
          <w:sz w:val="22"/>
        </w:rPr>
        <w:t xml:space="preserve"> Strong cross-border volumes support FIS's international banking and payments businesses.</w:t>
      </w:r>
    </w:p>
    <w:p>
      <w:pPr>
        <w:pStyle w:val="ListBullet"/>
        <w:ind w:left="360" w:hanging="360"/>
      </w:pPr>
      <w:r>
        <w:rPr>
          <w:rFonts w:ascii="Calibri" w:hAnsi="Calibri"/>
          <w:b/>
          <w:color w:val="525866"/>
          <w:sz w:val="22"/>
        </w:rPr>
        <w:t>Increased demand for security solutions driven by AI threat proliferation.</w:t>
      </w:r>
      <w:r>
        <w:rPr>
          <w:rFonts w:ascii="Calibri" w:hAnsi="Calibri"/>
          <w:color w:val="525866"/>
          <w:sz w:val="22"/>
        </w:rPr>
        <w:t xml:space="preserve"> Mastercard cited "increased demand for robust and unique security solutions" as AI amplifies new threat needs. Mastercard Threat Intelligence identified 7M+ card testing transactions across 192 countries in its first three quarters. </w:t>
      </w:r>
      <w:r>
        <w:rPr>
          <w:rFonts w:ascii="Calibri" w:hAnsi="Calibri"/>
          <w:i/>
          <w:color w:val="525866"/>
          <w:sz w:val="22"/>
        </w:rPr>
        <w:t>FIS read-through:</w:t>
      </w:r>
      <w:r>
        <w:rPr>
          <w:rFonts w:ascii="Calibri" w:hAnsi="Calibri"/>
          <w:color w:val="525866"/>
          <w:sz w:val="22"/>
        </w:rPr>
        <w:t xml:space="preserve"> Consistent with FIS's fraud and financial crimes AI agent thesis. Banks are actively spending on fraud prevention — a key demand driver for FIS's Anthropic-powered Financial Crimes AI Agent.</w:t>
      </w:r>
    </w:p>
    <w:p>
      <w:pPr>
        <w:pStyle w:val="ListBullet"/>
        <w:ind w:left="360" w:hanging="360"/>
      </w:pPr>
      <w:r>
        <w:rPr>
          <w:rFonts w:ascii="Calibri" w:hAnsi="Calibri"/>
          <w:b/>
          <w:color w:val="525866"/>
          <w:sz w:val="22"/>
        </w:rPr>
        <w:t>Agentic commerce and stablecoins described as significant opportunities.</w:t>
      </w:r>
      <w:r>
        <w:rPr>
          <w:rFonts w:ascii="Calibri" w:hAnsi="Calibri"/>
          <w:color w:val="525866"/>
          <w:sz w:val="22"/>
        </w:rPr>
        <w:t xml:space="preserve"> Mastercard is enabling agentic commerce through tokenization and dispute resolution infrastructure. Stablecoins described as "additive to our network." </w:t>
      </w:r>
      <w:r>
        <w:rPr>
          <w:rFonts w:ascii="Calibri" w:hAnsi="Calibri"/>
          <w:i/>
          <w:color w:val="525866"/>
          <w:sz w:val="22"/>
        </w:rPr>
        <w:t>FIS read-through:</w:t>
      </w:r>
      <w:r>
        <w:rPr>
          <w:rFonts w:ascii="Calibri" w:hAnsi="Calibri"/>
          <w:color w:val="525866"/>
          <w:sz w:val="22"/>
        </w:rPr>
        <w:t xml:space="preserve"> Validates FIS's Project Keystone tokenized deposit strategy and Anthropic agent roadmap as aligned with where the industry is heading.</w:t>
      </w:r>
    </w:p>
    <w:p>
      <w:pPr>
        <w:pStyle w:val="ListBullet"/>
        <w:ind w:left="360" w:hanging="360"/>
      </w:pPr>
      <w:r>
        <w:rPr>
          <w:rFonts w:ascii="Calibri" w:hAnsi="Calibri"/>
          <w:b/>
          <w:color w:val="525866"/>
          <w:sz w:val="22"/>
        </w:rPr>
        <w:t>Full-year 2026 guidance raised: net revenue growth now expected at the high end of low double digits (currency-neutral).</w:t>
      </w:r>
      <w:r>
        <w:rPr>
          <w:rFonts w:ascii="Calibri" w:hAnsi="Calibri"/>
          <w:color w:val="525866"/>
          <w:sz w:val="22"/>
        </w:rPr>
        <w:t xml:space="preserve"> Prior expectations were for the low end of low double digits. Stronger H1 performance drove the raise. </w:t>
      </w:r>
      <w:r>
        <w:rPr>
          <w:rFonts w:ascii="Calibri" w:hAnsi="Calibri"/>
          <w:i/>
          <w:color w:val="525866"/>
          <w:sz w:val="22"/>
        </w:rPr>
        <w:t>FIS read-through:</w:t>
      </w:r>
      <w:r>
        <w:rPr>
          <w:rFonts w:ascii="Calibri" w:hAnsi="Calibri"/>
          <w:color w:val="525866"/>
          <w:sz w:val="22"/>
        </w:rPr>
        <w:t xml:space="preserve"> Mastercard raising full-year guidance is a positive macro read-through for the banking and payments technology spending environment heading into FIS's Q2 print.</w:t>
      </w:r>
    </w:p>
    <w:p>
      <w:pPr>
        <w:pStyle w:val="Heading3"/>
      </w:pPr>
      <w:r>
        <w:rPr>
          <w:rFonts w:ascii="Calibri" w:hAnsi="Calibri"/>
          <w:b/>
          <w:color w:val="3B4259"/>
          <w:sz w:val="24"/>
        </w:rPr>
        <w:t>Global Payments (GPN) — Mizuho Technology Conference (June 10, 2026)</w:t>
      </w:r>
    </w:p>
    <w:p>
      <w:r>
        <w:rPr>
          <w:rFonts w:ascii="Calibri" w:hAnsi="Calibri"/>
          <w:b/>
          <w:color w:val="525866"/>
          <w:sz w:val="22"/>
        </w:rPr>
        <w:t xml:space="preserve">Relevance to FIS: </w:t>
      </w:r>
      <w:r>
        <w:rPr>
          <w:rFonts w:ascii="Calibri" w:hAnsi="Calibri"/>
          <w:color w:val="525866"/>
          <w:sz w:val="22"/>
        </w:rPr>
        <w:t>Global Payments acquired Worldpay from FIS (closed January 2026). GPN's commentary on the Worldpay integration and the former asset's performance is relevant context for understanding the strategic value FIS extracted from the divestiture and the competitive landscape in merchant acquiring.</w:t>
      </w:r>
    </w:p>
    <w:p>
      <w:pPr>
        <w:pStyle w:val="ListBullet"/>
        <w:ind w:left="360" w:hanging="360"/>
      </w:pPr>
      <w:r>
        <w:rPr>
          <w:rFonts w:ascii="Calibri" w:hAnsi="Calibri"/>
          <w:b/>
          <w:color w:val="525866"/>
          <w:sz w:val="22"/>
        </w:rPr>
        <w:t>150 days into Worldpay integration; organizational structure largely complete.</w:t>
      </w:r>
      <w:r>
        <w:rPr>
          <w:rFonts w:ascii="Calibri" w:hAnsi="Calibri"/>
          <w:color w:val="525866"/>
          <w:sz w:val="22"/>
        </w:rPr>
        <w:t xml:space="preserve"> GPN CEO Cameron Bready stated the combined entity has established a unified operating model, with the last layers of management expected in place by June/early July 2026. Cost synergy target of $600M run-rate by end of 2028; tracking to exit 2026 at ~$150M. Revenue synergy target of $200M run-rate by end of 2028. </w:t>
      </w:r>
      <w:r>
        <w:rPr>
          <w:rFonts w:ascii="Calibri" w:hAnsi="Calibri"/>
          <w:i/>
          <w:color w:val="525866"/>
          <w:sz w:val="22"/>
        </w:rPr>
        <w:t>FIS read-through:</w:t>
      </w:r>
      <w:r>
        <w:rPr>
          <w:rFonts w:ascii="Calibri" w:hAnsi="Calibri"/>
          <w:color w:val="525866"/>
          <w:sz w:val="22"/>
        </w:rPr>
        <w:t xml:space="preserve"> Confirms the Worldpay divestiture is proceeding smoothly under GPN. FIS has fully exited merchant acquiring and is now a pure-play financial institution technology provider.</w:t>
      </w:r>
    </w:p>
    <w:p>
      <w:pPr>
        <w:pStyle w:val="ListBullet"/>
        <w:ind w:left="360" w:hanging="360"/>
      </w:pPr>
      <w:r>
        <w:rPr>
          <w:rFonts w:ascii="Calibri" w:hAnsi="Calibri"/>
          <w:b/>
          <w:color w:val="525866"/>
          <w:sz w:val="22"/>
        </w:rPr>
        <w:t>Middle East conflict creating ~100 bps headwind to Q2 payment volumes through Worldpay's airline portfolio.</w:t>
      </w:r>
      <w:r>
        <w:rPr>
          <w:rFonts w:ascii="Calibri" w:hAnsi="Calibri"/>
          <w:color w:val="525866"/>
          <w:sz w:val="22"/>
        </w:rPr>
        <w:t xml:space="preserve"> GPN serves the 12 largest Middle Eastern airlines, which have scaled back routes 30–70%. This headwind is expected to normalize in H2 2026. </w:t>
      </w:r>
      <w:r>
        <w:rPr>
          <w:rFonts w:ascii="Calibri" w:hAnsi="Calibri"/>
          <w:i/>
          <w:color w:val="525866"/>
          <w:sz w:val="22"/>
        </w:rPr>
        <w:t>FIS read-through:</w:t>
      </w:r>
      <w:r>
        <w:rPr>
          <w:rFonts w:ascii="Calibri" w:hAnsi="Calibri"/>
          <w:color w:val="525866"/>
          <w:sz w:val="22"/>
        </w:rPr>
        <w:t xml:space="preserve"> Limited direct read-through for FIS (FIS exited merchant acquiring). Confirms macro travel headwinds in Q2 that could affect broader payment volumes.</w:t>
      </w:r>
    </w:p>
    <w:p>
      <w:pPr>
        <w:pStyle w:val="ListBullet"/>
        <w:ind w:left="360" w:hanging="360"/>
      </w:pPr>
      <w:r>
        <w:rPr>
          <w:rFonts w:ascii="Calibri" w:hAnsi="Calibri"/>
          <w:b/>
          <w:color w:val="525866"/>
          <w:sz w:val="22"/>
        </w:rPr>
        <w:t>Enterprise new logos signed in 2025/early 2026 beginning to flow volumes in H2 2026.</w:t>
      </w:r>
      <w:r>
        <w:rPr>
          <w:rFonts w:ascii="Calibri" w:hAnsi="Calibri"/>
          <w:color w:val="525866"/>
          <w:sz w:val="22"/>
        </w:rPr>
        <w:t xml:space="preserve"> GPN has "very good visibility" into H2 enterprise growth acceleration from new client ramp-ups. </w:t>
      </w:r>
      <w:r>
        <w:rPr>
          <w:rFonts w:ascii="Calibri" w:hAnsi="Calibri"/>
          <w:i/>
          <w:color w:val="525866"/>
          <w:sz w:val="22"/>
        </w:rPr>
        <w:t>FIS read-through:</w:t>
      </w:r>
      <w:r>
        <w:rPr>
          <w:rFonts w:ascii="Calibri" w:hAnsi="Calibri"/>
          <w:color w:val="525866"/>
          <w:sz w:val="22"/>
        </w:rPr>
        <w:t xml:space="preserve"> Consistent with FIS's own ACV-to-revenue conversion narrative — strong ACV growth in recent quarters (Banking +13%, Capital Markets +45% in Q1 2026) should begin converting to recurring revenue in H2 2026 and 2027.</w:t>
      </w:r>
    </w:p>
    <w:p>
      <w:pPr>
        <w:pStyle w:val="Heading3"/>
      </w:pPr>
      <w:r>
        <w:rPr>
          <w:rFonts w:ascii="Calibri" w:hAnsi="Calibri"/>
          <w:b/>
          <w:color w:val="3B4259"/>
          <w:sz w:val="24"/>
        </w:rPr>
        <w:t>PayPal (PYPL) — Q2 2026 Earnings (July 28, 2026; covers April–June 2026)</w:t>
      </w:r>
    </w:p>
    <w:p>
      <w:r>
        <w:rPr>
          <w:rFonts w:ascii="Calibri" w:hAnsi="Calibri"/>
          <w:b/>
          <w:color w:val="525866"/>
          <w:sz w:val="22"/>
        </w:rPr>
        <w:t xml:space="preserve">Relevance to FIS: </w:t>
      </w:r>
      <w:r>
        <w:rPr>
          <w:rFonts w:ascii="Calibri" w:hAnsi="Calibri"/>
          <w:color w:val="525866"/>
          <w:sz w:val="22"/>
        </w:rPr>
        <w:t>PayPal's Q2 covers the same April–June 2026 calendar period. PayPal's commentary on consumer digital payment trends and fintech demand is a secondary read-through for FIS's digital banking and payments businesses.</w:t>
      </w:r>
    </w:p>
    <w:p>
      <w:pPr>
        <w:pStyle w:val="ListBullet"/>
        <w:ind w:left="360" w:hanging="360"/>
      </w:pPr>
      <w:r>
        <w:rPr>
          <w:rFonts w:ascii="Calibri" w:hAnsi="Calibri"/>
          <w:b/>
          <w:color w:val="525866"/>
          <w:sz w:val="22"/>
        </w:rPr>
        <w:t>PayPal beat Q2 earnings expectations and raised full-year guidance, signaling continued progress in its turnaround.</w:t>
      </w:r>
      <w:r>
        <w:rPr>
          <w:rFonts w:ascii="Calibri" w:hAnsi="Calibri"/>
          <w:color w:val="525866"/>
          <w:sz w:val="22"/>
        </w:rPr>
        <w:t xml:space="preserve"> The beat was driven by transaction margin improvement and operating leverage. </w:t>
      </w:r>
      <w:r>
        <w:rPr>
          <w:rFonts w:ascii="Calibri" w:hAnsi="Calibri"/>
          <w:i/>
          <w:color w:val="525866"/>
          <w:sz w:val="22"/>
        </w:rPr>
        <w:t>FIS read-through:</w:t>
      </w:r>
      <w:r>
        <w:rPr>
          <w:rFonts w:ascii="Calibri" w:hAnsi="Calibri"/>
          <w:color w:val="525866"/>
          <w:sz w:val="22"/>
        </w:rPr>
        <w:t xml:space="preserve"> Positive macro read-through for digital payment volumes in Q2. PayPal's turnaround progress also validates the broader fintech sector recovery narrative.</w:t>
      </w:r>
    </w:p>
    <w:p>
      <w:pPr>
        <w:pStyle w:val="ListBullet"/>
        <w:ind w:left="360" w:hanging="360"/>
      </w:pPr>
      <w:r>
        <w:rPr>
          <w:rFonts w:ascii="Calibri" w:hAnsi="Calibri"/>
          <w:b/>
          <w:color w:val="525866"/>
          <w:sz w:val="22"/>
        </w:rPr>
        <w:t>Stripe/Advent International reported $53B takeover offer for PayPal (July 15, 2026).</w:t>
      </w:r>
      <w:r>
        <w:rPr>
          <w:rFonts w:ascii="Calibri" w:hAnsi="Calibri"/>
          <w:color w:val="525866"/>
          <w:sz w:val="22"/>
        </w:rPr>
        <w:t xml:space="preserve"> PayPal stock surged 19%+ on the report. PayPal stated it is open to a takeover but only for "superior value." </w:t>
      </w:r>
      <w:r>
        <w:rPr>
          <w:rFonts w:ascii="Calibri" w:hAnsi="Calibri"/>
          <w:i/>
          <w:color w:val="525866"/>
          <w:sz w:val="22"/>
        </w:rPr>
        <w:t>FIS read-through:</w:t>
      </w:r>
      <w:r>
        <w:rPr>
          <w:rFonts w:ascii="Calibri" w:hAnsi="Calibri"/>
          <w:color w:val="525866"/>
          <w:sz w:val="22"/>
        </w:rPr>
        <w:t xml:space="preserve"> Limited direct read-through for FIS. The M&amp;A activity in fintech validates the sector's strategic value but FIS is focused on deleveraging and has explicitly paused M&amp;A through end of 2027.</w:t>
      </w:r>
    </w:p>
    <w:p>
      <w:pPr>
        <w:pStyle w:val="Heading3"/>
      </w:pPr>
      <w:r>
        <w:rPr>
          <w:rFonts w:ascii="Calibri" w:hAnsi="Calibri"/>
          <w:b/>
          <w:color w:val="3B4259"/>
          <w:sz w:val="24"/>
        </w:rPr>
        <w:t>Fiserv (FI) — Debit Network Acquisition Reports (July 7, 2026)</w:t>
      </w:r>
    </w:p>
    <w:p>
      <w:r>
        <w:rPr>
          <w:rFonts w:ascii="Calibri" w:hAnsi="Calibri"/>
          <w:b/>
          <w:color w:val="525866"/>
          <w:sz w:val="22"/>
        </w:rPr>
        <w:t xml:space="preserve">Relevance to FIS: </w:t>
      </w:r>
      <w:r>
        <w:rPr>
          <w:rFonts w:ascii="Calibri" w:hAnsi="Calibri"/>
          <w:color w:val="525866"/>
          <w:sz w:val="22"/>
        </w:rPr>
        <w:t>Reports that major U.S. banks (JPMorgan Chase, Bank of America) are exploring an acquisition of Fiserv's debit card network are a direct strategic read-through for FIS's NYCE debit network.</w:t>
      </w:r>
    </w:p>
    <w:p>
      <w:pPr>
        <w:pStyle w:val="ListBullet"/>
        <w:ind w:left="360" w:hanging="360"/>
      </w:pPr>
      <w:r>
        <w:rPr>
          <w:rFonts w:ascii="Calibri" w:hAnsi="Calibri"/>
          <w:b/>
          <w:color w:val="525866"/>
          <w:sz w:val="22"/>
        </w:rPr>
        <w:t>Major U.S. banks exploring acquisition of Fiserv's debit network; Fiserv stock jumped on the news.</w:t>
      </w:r>
      <w:r>
        <w:rPr>
          <w:rFonts w:ascii="Calibri" w:hAnsi="Calibri"/>
          <w:color w:val="525866"/>
          <w:sz w:val="22"/>
        </w:rPr>
        <w:t xml:space="preserve"> Reports indicated JPMorgan Chase and Bank of America are among the banks exploring the deal. Fiserv insiders (CFO, CLO) subsequently bought over $1.5M in company stock after the CEO's exit caused an 11% share drop (June 26, 2026). </w:t>
      </w:r>
      <w:r>
        <w:rPr>
          <w:rFonts w:ascii="Calibri" w:hAnsi="Calibri"/>
          <w:i/>
          <w:color w:val="525866"/>
          <w:sz w:val="22"/>
        </w:rPr>
        <w:t>FIS read-through:</w:t>
      </w:r>
      <w:r>
        <w:rPr>
          <w:rFonts w:ascii="Calibri" w:hAnsi="Calibri"/>
          <w:color w:val="525866"/>
          <w:sz w:val="22"/>
        </w:rPr>
        <w:t xml:space="preserve"> Highly relevant. FIS owns the NYCE debit network, which management has described as the fourth-largest U.S. debit network, a high-margin recurring business with strong recent sales momentum. FIS management has explicitly flagged openness to strategic partnerships around network usage (citing the Capital One/Discover/Pulse combination as a model) while stating no interest in selling the network outright. The Fiserv news validates the strategic value of bank-owned debit network assets and could prompt investor questions about FIS's NYCE strategy on the Q2 call.</w:t>
      </w:r>
    </w:p>
    <w:p>
      <w:r>
        <w:br w:type="page"/>
      </w:r>
    </w:p>
    <w:p>
      <w:pPr>
        <w:pStyle w:val="Heading2"/>
      </w:pPr>
      <w:r>
        <w:rPr>
          <w:rFonts w:ascii="Calibri" w:hAnsi="Calibri"/>
          <w:b/>
          <w:color w:val="3B4259"/>
          <w:sz w:val="28"/>
        </w:rPr>
        <w:t>8. Insider Transaction Activity</w:t>
      </w:r>
    </w:p>
    <w:p>
      <w:r>
        <w:rPr>
          <w:rFonts w:ascii="Calibri" w:hAnsi="Calibri"/>
          <w:b/>
          <w:color w:val="525866"/>
          <w:sz w:val="22"/>
        </w:rPr>
        <w:t xml:space="preserve">Key Takeaway: </w:t>
      </w:r>
      <w:r>
        <w:rPr>
          <w:rFonts w:ascii="Calibri" w:hAnsi="Calibri"/>
          <w:color w:val="525866"/>
          <w:sz w:val="22"/>
        </w:rPr>
        <w:t>One notable open-market buy by a Director in the last 60 days — a modest but positive signal. No executive-level selling. The buy occurred under a 10b5-1 plan, which limits the discretionary signal, but the timing (mid-July, with the stock near recent lows) is noteworthy.</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Name</w:t>
            </w:r>
          </w:p>
        </w:tc>
        <w:tc>
          <w:tcPr>
            <w:tcW w:type="dxa" w:w="1234"/>
            <w:shd w:val="clear" w:color="auto" w:fill="3B4259"/>
          </w:tcPr>
          <w:p>
            <w:r>
              <w:rPr>
                <w:rFonts w:ascii="Calibri" w:hAnsi="Calibri"/>
                <w:b/>
                <w:color w:val="FFFFFF"/>
                <w:sz w:val="22"/>
              </w:rPr>
              <w:t>Title</w:t>
            </w:r>
          </w:p>
        </w:tc>
        <w:tc>
          <w:tcPr>
            <w:tcW w:type="dxa" w:w="1234"/>
            <w:shd w:val="clear" w:color="auto" w:fill="3B4259"/>
          </w:tcPr>
          <w:p>
            <w:r>
              <w:rPr>
                <w:rFonts w:ascii="Calibri" w:hAnsi="Calibri"/>
                <w:b/>
                <w:color w:val="FFFFFF"/>
                <w:sz w:val="22"/>
              </w:rPr>
              <w:t>Transaction Type</w:t>
            </w:r>
          </w:p>
        </w:tc>
        <w:tc>
          <w:tcPr>
            <w:tcW w:type="dxa" w:w="1234"/>
            <w:shd w:val="clear" w:color="auto" w:fill="3B4259"/>
          </w:tcPr>
          <w:p>
            <w:r>
              <w:rPr>
                <w:rFonts w:ascii="Calibri" w:hAnsi="Calibri"/>
                <w:b/>
                <w:color w:val="FFFFFF"/>
                <w:sz w:val="22"/>
              </w:rPr>
              <w:t>Shares</w:t>
            </w:r>
          </w:p>
        </w:tc>
        <w:tc>
          <w:tcPr>
            <w:tcW w:type="dxa" w:w="1234"/>
            <w:shd w:val="clear" w:color="auto" w:fill="3B4259"/>
          </w:tcPr>
          <w:p>
            <w:r>
              <w:rPr>
                <w:rFonts w:ascii="Calibri" w:hAnsi="Calibri"/>
                <w:b/>
                <w:color w:val="FFFFFF"/>
                <w:sz w:val="22"/>
              </w:rPr>
              <w:t>Transaction Date</w:t>
            </w:r>
          </w:p>
        </w:tc>
        <w:tc>
          <w:tcPr>
            <w:tcW w:type="dxa" w:w="1234"/>
            <w:shd w:val="clear" w:color="auto" w:fill="3B4259"/>
          </w:tcPr>
          <w:p>
            <w:r>
              <w:rPr>
                <w:rFonts w:ascii="Calibri" w:hAnsi="Calibri"/>
                <w:b/>
                <w:color w:val="FFFFFF"/>
                <w:sz w:val="22"/>
              </w:rPr>
              <w:t>Filing Date</w:t>
            </w:r>
          </w:p>
        </w:tc>
        <w:tc>
          <w:tcPr>
            <w:tcW w:type="dxa" w:w="1234"/>
            <w:shd w:val="clear" w:color="auto" w:fill="3B4259"/>
          </w:tcPr>
          <w:p>
            <w:r>
              <w:rPr>
                <w:rFonts w:ascii="Calibri" w:hAnsi="Calibri"/>
                <w:b/>
                <w:color w:val="FFFFFF"/>
                <w:sz w:val="22"/>
              </w:rPr>
              <w:t>Note</w:t>
            </w:r>
          </w:p>
        </w:tc>
      </w:tr>
      <w:tr>
        <w:tc>
          <w:tcPr>
            <w:tcW w:type="dxa" w:w="1234"/>
          </w:tcPr>
          <w:p>
            <w:r>
              <w:rPr>
                <w:rFonts w:ascii="Calibri" w:hAnsi="Calibri"/>
                <w:sz w:val="22"/>
              </w:rPr>
              <w:t>Jeffrey A. Goldstein</w:t>
            </w:r>
          </w:p>
        </w:tc>
        <w:tc>
          <w:tcPr>
            <w:tcW w:type="dxa" w:w="1234"/>
          </w:tcPr>
          <w:p>
            <w:r>
              <w:rPr>
                <w:rFonts w:ascii="Calibri" w:hAnsi="Calibri"/>
                <w:sz w:val="22"/>
              </w:rPr>
              <w:t>Director</w:t>
            </w:r>
          </w:p>
        </w:tc>
        <w:tc>
          <w:tcPr>
            <w:tcW w:type="dxa" w:w="1234"/>
          </w:tcPr>
          <w:p>
            <w:r>
              <w:rPr>
                <w:rFonts w:ascii="Calibri" w:hAnsi="Calibri"/>
                <w:sz w:val="22"/>
              </w:rPr>
              <w:t>Open Market Buy (10b5-1 Plan)</w:t>
            </w:r>
          </w:p>
        </w:tc>
        <w:tc>
          <w:tcPr>
            <w:tcW w:type="dxa" w:w="1234"/>
          </w:tcPr>
          <w:p>
            <w:r>
              <w:rPr>
                <w:rFonts w:ascii="Calibri" w:hAnsi="Calibri"/>
                <w:sz w:val="22"/>
              </w:rPr>
              <w:t>1,386 shares</w:t>
            </w:r>
          </w:p>
        </w:tc>
        <w:tc>
          <w:tcPr>
            <w:tcW w:type="dxa" w:w="1234"/>
          </w:tcPr>
          <w:p>
            <w:r>
              <w:rPr>
                <w:rFonts w:ascii="Calibri" w:hAnsi="Calibri"/>
                <w:sz w:val="22"/>
              </w:rPr>
              <w:t>July 15, 2026</w:t>
            </w:r>
          </w:p>
        </w:tc>
        <w:tc>
          <w:tcPr>
            <w:tcW w:type="dxa" w:w="1234"/>
          </w:tcPr>
          <w:p>
            <w:r>
              <w:rPr>
                <w:rFonts w:ascii="Calibri" w:hAnsi="Calibri"/>
                <w:sz w:val="22"/>
              </w:rPr>
              <w:t>July 16, 2026</w:t>
            </w:r>
          </w:p>
        </w:tc>
        <w:tc>
          <w:tcPr>
            <w:tcW w:type="dxa" w:w="1234"/>
          </w:tcPr>
          <w:p>
            <w:r>
              <w:rPr>
                <w:rFonts w:ascii="Calibri" w:hAnsi="Calibri"/>
                <w:sz w:val="22"/>
              </w:rPr>
              <w:t>Pre-planned 10b5-1 purchase; total holdings post-transaction: 17,112 shares. Executed near recent stock lows (~$41.10). Discretionary signal is limited given 10b5-1 plan structure.</w:t>
            </w:r>
          </w:p>
        </w:tc>
      </w:tr>
    </w:tbl>
    <w:p>
      <w:r>
        <w:rPr>
          <w:rFonts w:ascii="Calibri" w:hAnsi="Calibri"/>
          <w:color w:val="525866"/>
          <w:sz w:val="22"/>
        </w:rPr>
        <w:t>No open-market discretionary buys or sells by C-suite executives (CEO, CFO, COO) were identified in the last 60 days. The sole transaction is a Director-level 10b5-1 plan purchase, which is pre-scheduled and carries limited informational value as a discretionary signal. The absence of executive selling ahead of earnings is a mild positive. No Form 144 (intended sale) filings were identified in the window.</w:t>
      </w:r>
    </w:p>
    <w:p>
      <w:r>
        <w:rPr>
          <w:rFonts w:ascii="Calibri" w:hAnsi="Calibri"/>
          <w:i/>
          <w:color w:val="525866"/>
          <w:sz w:val="22"/>
        </w:rPr>
        <w:t>Source: SEC Form 4 Filings Database (Insider Transaction Data). Transaction date: July 15, 2026; Filing date: July 16, 2026. Form 4 link: https://www.sec.gov/Archives/edgar/data/1136893/000162828026048468/xslF345X06/wk-form4_1784233423.xml</w:t>
      </w:r>
    </w:p>
    <w:sectPr w:rsidR="00FC693F" w:rsidRPr="0006063C" w:rsidSect="00034616">
      <w:headerReference w:type="default" r:id="rId9"/>
      <w:footerReference w:type="default" r:id="rId10"/>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rPr>
        <w:rFonts w:ascii="Calibri" w:hAnsi="Calibri"/>
        <w:i/>
        <w:color w:val="525866"/>
        <w:sz w:val="20"/>
      </w:rPr>
      <w:t>We do the work, you make the call</w:t>
    </w:r>
    <w:r>
      <w:tab/>
    </w:r>
    <w:r>
      <w:rPr>
        <w:rFonts w:ascii="Calibri" w:hAnsi="Calibri"/>
        <w:i/>
        <w:color w:val="FB9120"/>
        <w:sz w:val="20"/>
      </w:rPr>
      <w:t>app.implied.com/trial</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drawing>
        <wp:inline xmlns:a="http://schemas.openxmlformats.org/drawingml/2006/main" xmlns:pic="http://schemas.openxmlformats.org/drawingml/2006/picture">
          <wp:extent cx="5486400" cy="274320"/>
          <wp:docPr id="1" name="Picture 1"/>
          <wp:cNvGraphicFramePr>
            <a:graphicFrameLocks noChangeAspect="1"/>
          </wp:cNvGraphicFramePr>
          <a:graphic>
            <a:graphicData uri="http://schemas.openxmlformats.org/drawingml/2006/picture">
              <pic:pic>
                <pic:nvPicPr>
                  <pic:cNvPr id="0" name="ImpliedPromotionalHeader.png"/>
                  <pic:cNvPicPr/>
                </pic:nvPicPr>
                <pic:blipFill>
                  <a:blip r:embed="rId1"/>
                  <a:stretch>
                    <a:fillRect/>
                  </a:stretch>
                </pic:blipFill>
                <pic:spPr>
                  <a:xfrm>
                    <a:off x="0" y="0"/>
                    <a:ext cx="5486400" cy="274320"/>
                  </a:xfrm>
                  <a:prstGeom prst="rect"/>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