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FISV before writing the preview. Let me pull recent filings, transcripts, and news.Note: Fiserv now trades under ticker</w:t>
      </w:r>
      <w:r>
        <w:t xml:space="preserve"> </w:t>
      </w:r>
      <w:r>
        <w:rPr>
          <w:b/>
          <w:bCs/>
        </w:rPr>
        <w:t xml:space="preserve">FI</w:t>
      </w:r>
      <w:r>
        <w:t xml:space="preserve"> </w:t>
      </w:r>
      <w:r>
        <w:t xml:space="preserve">(formerly FISV). Let me read the most recent transcript and gather recent news/price action.Let me get recent price action and news around the stock, plus check for an Investor Day and any recent developments.The price series cut off in March. Let me get the recent months and search broader news including the May Investor Day.Key developments found: a CEO departure and M&amp;A interest in the debit network. Let me read those and get recent prices.Let me grab the year-ago Q2 2025 numbers as the comparison base and check the insider-buying note.# Fiserv (NASDAQ: FI) — Q2 2026 Earnings Preview</w:t>
      </w:r>
    </w:p>
    <w:bookmarkStart w:id="9" w:name="Xca1320088dd953b9a3176b4569494dbd405e860"/>
    <w:p>
      <w:pPr>
        <w:pStyle w:val="Heading3"/>
      </w:pPr>
      <w:r>
        <w:t xml:space="preserve">Reports before market open, Thursday, August 6, 2026 | 2026 Q2 Earnings Call</w:t>
      </w:r>
    </w:p>
    <w:p>
      <w:pPr>
        <w:pStyle w:val="BlockText"/>
      </w:pPr>
      <w:r>
        <w:rPr>
          <w:b/>
          <w:bCs/>
        </w:rPr>
        <w:t xml:space="preserve">Note on the ticker:</w:t>
      </w:r>
      <w:r>
        <w:t xml:space="preserve"> </w:t>
      </w:r>
      <w:r>
        <w:t xml:space="preserve">Fiserv trades as</w:t>
      </w:r>
      <w:r>
        <w:t xml:space="preserve"> </w:t>
      </w:r>
      <w:r>
        <w:rPr>
          <w:b/>
          <w:bCs/>
        </w:rPr>
        <w:t xml:space="preserve">FI</w:t>
      </w:r>
      <w:r>
        <w:t xml:space="preserve"> </w:t>
      </w:r>
      <w:r>
        <w:t xml:space="preserve">on NYSE (the old "FISV" symbol is retired). This preview covers what the market will be watching into tomorrow's print.</w:t>
      </w:r>
    </w:p>
    <w:p>
      <w:r>
        <w:pict>
          <v:rect style="width:0;height:1.5pt" o:hralign="center" o:hrstd="t" o:hr="t"/>
        </w:pict>
      </w:r>
    </w:p>
    <w:bookmarkEnd w:id="9"/>
    <w:bookmarkStart w:id="10" w:name="the-one-sentence-setup"/>
    <w:p>
      <w:pPr>
        <w:pStyle w:val="Heading2"/>
      </w:pPr>
      <w:r>
        <w:t xml:space="preserve">The one-sentence setup</w:t>
      </w:r>
    </w:p>
    <w:p>
      <w:pPr>
        <w:pStyle w:val="FirstParagraph"/>
      </w:pPr>
      <w:r>
        <w:t xml:space="preserve">This is arguably the most consequential Fiserv report in years: it's the</w:t>
      </w:r>
      <w:r>
        <w:t xml:space="preserve"> </w:t>
      </w:r>
      <w:r>
        <w:rPr>
          <w:b/>
          <w:bCs/>
        </w:rPr>
        <w:t xml:space="preserve">first quarter reported by new CEO Takis Georgakopoulos</w:t>
      </w:r>
      <w:r>
        <w:t xml:space="preserve">, it lands on the guided</w:t>
      </w:r>
      <w:r>
        <w:t xml:space="preserve"> </w:t>
      </w:r>
      <w:r>
        <w:rPr>
          <w:b/>
          <w:bCs/>
        </w:rPr>
        <w:t xml:space="preserve">trough quarter</w:t>
      </w:r>
      <w:r>
        <w:t xml:space="preserve"> </w:t>
      </w:r>
      <w:r>
        <w:t xml:space="preserve">for year-over-year revenue, it laps an extremely tough year-ago comp (Q2 2025 was +8% organic / $2.47 adj. EPS), and it comes with a</w:t>
      </w:r>
      <w:r>
        <w:t xml:space="preserve"> </w:t>
      </w:r>
      <w:r>
        <w:rPr>
          <w:b/>
          <w:bCs/>
        </w:rPr>
        <w:t xml:space="preserve">live M&amp;A catalyst</w:t>
      </w:r>
      <w:r>
        <w:t xml:space="preserve"> </w:t>
      </w:r>
      <w:r>
        <w:t xml:space="preserve">(big-bank interest in Fiserv's debit network) hanging over the stock — all after a brutal ~70%+ drawdown.</w:t>
      </w:r>
    </w:p>
    <w:p>
      <w:r>
        <w:pict>
          <v:rect style="width:0;height:1.5pt" o:hralign="center" o:hrstd="t" o:hr="t"/>
        </w:pict>
      </w:r>
    </w:p>
    <w:bookmarkEnd w:id="10"/>
    <w:bookmarkStart w:id="11" w:name="Xbb803fb30035bfaeb71420a75eee8df0714a623"/>
    <w:p>
      <w:pPr>
        <w:pStyle w:val="Heading2"/>
      </w:pPr>
      <w:r>
        <w:t xml:space="preserve">1. Why the stock is where it is (context)</w:t>
      </w:r>
    </w:p>
    <w:p>
      <w:pPr>
        <w:pStyle w:val="FirstParagraph"/>
      </w:pPr>
      <w:r>
        <w:t xml:space="preserve">Fiserv has gone from fintech darling to "show-me" story in about 18 months:</w:t>
      </w:r>
    </w:p>
    <w:p>
      <w:pPr>
        <w:pStyle w:val="Compact"/>
        <w:numPr>
          <w:ilvl w:val="0"/>
          <w:numId w:val="1001"/>
        </w:numPr>
      </w:pPr>
      <w:r>
        <w:t xml:space="preserve">The company</w:t>
      </w:r>
      <w:r>
        <w:t xml:space="preserve"> </w:t>
      </w:r>
      <w:r>
        <w:rPr>
          <w:b/>
          <w:bCs/>
        </w:rPr>
        <w:t xml:space="preserve">slashed guidance in the fall of 2025</w:t>
      </w:r>
      <w:r>
        <w:t xml:space="preserve">, and the stock fell roughly</w:t>
      </w:r>
      <w:r>
        <w:t xml:space="preserve"> </w:t>
      </w:r>
      <w:r>
        <w:rPr>
          <w:b/>
          <w:bCs/>
        </w:rPr>
        <w:t xml:space="preserve">40% in a single day</w:t>
      </w:r>
      <w:r>
        <w:t xml:space="preserve">. From its February 2025 record high, shares are down on the order of</w:t>
      </w:r>
      <w:r>
        <w:t xml:space="preserve"> </w:t>
      </w:r>
      <w:r>
        <w:rPr>
          <w:b/>
          <w:bCs/>
        </w:rPr>
        <w:t xml:space="preserve">80%</w:t>
      </w:r>
      <w:r>
        <w:t xml:space="preserve">, and they are down roughly</w:t>
      </w:r>
      <w:r>
        <w:t xml:space="preserve"> </w:t>
      </w:r>
      <w:r>
        <w:rPr>
          <w:b/>
          <w:bCs/>
        </w:rPr>
        <w:t xml:space="preserve">70% over the trailing year</w:t>
      </w:r>
      <w:r>
        <w:t xml:space="preserve"> </w:t>
      </w:r>
      <w:r>
        <w:t xml:space="preserve">and ~18% in 2026.</w:t>
      </w:r>
    </w:p>
    <w:p>
      <w:pPr>
        <w:pStyle w:val="Compact"/>
        <w:numPr>
          <w:ilvl w:val="0"/>
          <w:numId w:val="1001"/>
        </w:numPr>
      </w:pPr>
      <w:r>
        <w:t xml:space="preserve">In</w:t>
      </w:r>
      <w:r>
        <w:t xml:space="preserve"> </w:t>
      </w:r>
      <w:r>
        <w:rPr>
          <w:b/>
          <w:bCs/>
        </w:rPr>
        <w:t xml:space="preserve">mid-June 2026</w:t>
      </w:r>
      <w:r>
        <w:t xml:space="preserve">, then-CEO</w:t>
      </w:r>
      <w:r>
        <w:t xml:space="preserve"> </w:t>
      </w:r>
      <w:r>
        <w:rPr>
          <w:b/>
          <w:bCs/>
        </w:rPr>
        <w:t xml:space="preserve">Mike Lyons abruptly left to become CEO of Truist Financial</w:t>
      </w:r>
      <w:r>
        <w:t xml:space="preserve"> </w:t>
      </w:r>
      <w:r>
        <w:t xml:space="preserve">just ~one month after hosting Fiserv's May 14 Investor Day. FI shares fell ~9% to a</w:t>
      </w:r>
      <w:r>
        <w:t xml:space="preserve"> </w:t>
      </w:r>
      <w:r>
        <w:rPr>
          <w:b/>
          <w:bCs/>
        </w:rPr>
        <w:t xml:space="preserve">nine-year low</w:t>
      </w:r>
      <w:r>
        <w:t xml:space="preserve"> </w:t>
      </w:r>
      <w:r>
        <w:t xml:space="preserve">on the news. The board immediately named</w:t>
      </w:r>
      <w:r>
        <w:t xml:space="preserve"> </w:t>
      </w:r>
      <w:r>
        <w:rPr>
          <w:b/>
          <w:bCs/>
        </w:rPr>
        <w:t xml:space="preserve">Takis Georgakopoulos</w:t>
      </w:r>
      <w:r>
        <w:t xml:space="preserve"> </w:t>
      </w:r>
      <w:r>
        <w:t xml:space="preserve">(ex-JPMorgan, joined Fiserv in 2024) as CEO and reaffirmed the full-year outlook.</w:t>
      </w:r>
    </w:p>
    <w:p>
      <w:pPr>
        <w:pStyle w:val="Compact"/>
        <w:numPr>
          <w:ilvl w:val="0"/>
          <w:numId w:val="1001"/>
        </w:numPr>
      </w:pPr>
      <w:r>
        <w:t xml:space="preserve">Activist</w:t>
      </w:r>
      <w:r>
        <w:t xml:space="preserve"> </w:t>
      </w:r>
      <w:r>
        <w:rPr>
          <w:b/>
          <w:bCs/>
        </w:rPr>
        <w:t xml:space="preserve">Jana Partners</w:t>
      </w:r>
      <w:r>
        <w:t xml:space="preserve"> </w:t>
      </w:r>
      <w:r>
        <w:t xml:space="preserve">built a stake earlier in 2026 and has been pushing on execution and board refresh (it had backed Lyons' turnaround focus).</w:t>
      </w:r>
    </w:p>
    <w:p>
      <w:pPr>
        <w:pStyle w:val="Compact"/>
        <w:numPr>
          <w:ilvl w:val="0"/>
          <w:numId w:val="1001"/>
        </w:numPr>
      </w:pPr>
      <w:r>
        <w:rPr>
          <w:b/>
          <w:bCs/>
        </w:rPr>
        <w:t xml:space="preserve">Insiders bought</w:t>
      </w:r>
      <w:r>
        <w:t xml:space="preserve"> </w:t>
      </w:r>
      <w:r>
        <w:t xml:space="preserve">after Lyons' exit — the CFO and Chief Legal Officer purchased &gt;$1.5M of stock in late June, a modest confidence signal.</w:t>
      </w:r>
    </w:p>
    <w:p>
      <w:pPr>
        <w:pStyle w:val="Compact"/>
        <w:numPr>
          <w:ilvl w:val="0"/>
          <w:numId w:val="1001"/>
        </w:numPr>
      </w:pPr>
      <w:r>
        <w:t xml:space="preserve">In</w:t>
      </w:r>
      <w:r>
        <w:t xml:space="preserve"> </w:t>
      </w:r>
      <w:r>
        <w:rPr>
          <w:b/>
          <w:bCs/>
        </w:rPr>
        <w:t xml:space="preserve">early July</w:t>
      </w:r>
      <w:r>
        <w:t xml:space="preserve">, WSJ/Reuters reported that</w:t>
      </w:r>
      <w:r>
        <w:t xml:space="preserve"> </w:t>
      </w:r>
      <w:r>
        <w:rPr>
          <w:b/>
          <w:bCs/>
        </w:rPr>
        <w:t xml:space="preserve">JPMorgan, Bank of America, Wells Fargo and PNC</w:t>
      </w:r>
      <w:r>
        <w:t xml:space="preserve"> </w:t>
      </w:r>
      <w:r>
        <w:t xml:space="preserve">explored buying Fiserv's</w:t>
      </w:r>
      <w:r>
        <w:t xml:space="preserve"> </w:t>
      </w:r>
      <w:r>
        <w:rPr>
          <w:b/>
          <w:bCs/>
        </w:rPr>
        <w:t xml:space="preserve">debit-card network (STAR/Accel)</w:t>
      </w:r>
      <w:r>
        <w:t xml:space="preserve"> </w:t>
      </w:r>
      <w:r>
        <w:t xml:space="preserve">— a way for banks to route around the Durbin amendment's debit interchange caps. Shares popped ~4%, though reports stressed talks are "preliminary," some banks have passed, and there is no certainty of a deal.</w:t>
      </w:r>
    </w:p>
    <w:p>
      <w:pPr>
        <w:pStyle w:val="FirstParagraph"/>
      </w:pPr>
      <w:r>
        <w:rPr>
          <w:b/>
          <w:bCs/>
        </w:rPr>
        <w:t xml:space="preserve">Takeaway:</w:t>
      </w:r>
      <w:r>
        <w:t xml:space="preserve"> </w:t>
      </w:r>
      <w:r>
        <w:t xml:space="preserve">Sentiment is washed out, the CEO seat just turned over, and there's an unusual strategic optionality overhang. That combination makes the setup unusually binary.</w:t>
      </w:r>
    </w:p>
    <w:p>
      <w:r>
        <w:pict>
          <v:rect style="width:0;height:1.5pt" o:hralign="center" o:hrstd="t" o:hr="t"/>
        </w:pict>
      </w:r>
    </w:p>
    <w:bookmarkEnd w:id="11"/>
    <w:bookmarkStart w:id="13" w:name="X9500fd6cb45093fe7917c348a19678797d45067"/>
    <w:p>
      <w:pPr>
        <w:pStyle w:val="Heading2"/>
      </w:pPr>
      <w:r>
        <w:t xml:space="preserve">2. What management already told us to expect for Q2</w:t>
      </w:r>
    </w:p>
    <w:p>
      <w:pPr>
        <w:pStyle w:val="FirstParagraph"/>
      </w:pPr>
      <w:r>
        <w:t xml:space="preserve">On the Q1 2026 call (May), CFO Paul Todd was explicit that</w:t>
      </w:r>
      <w:r>
        <w:t xml:space="preserve"> </w:t>
      </w:r>
      <w:r>
        <w:rPr>
          <w:b/>
          <w:bCs/>
        </w:rPr>
        <w:t xml:space="preserve">Q2 is the trough</w:t>
      </w:r>
      <w:r>
        <w:t xml:space="preserve">:</w:t>
      </w:r>
    </w:p>
    <w:p>
      <w:pPr>
        <w:pStyle w:val="Compact"/>
        <w:numPr>
          <w:ilvl w:val="0"/>
          <w:numId w:val="1002"/>
        </w:numPr>
      </w:pPr>
      <w:r>
        <w:rPr>
          <w:b/>
          <w:bCs/>
        </w:rPr>
        <w:t xml:space="preserve">Q2 is the low point for year-over-year revenue decline</w:t>
      </w:r>
      <w:r>
        <w:t xml:space="preserve"> </w:t>
      </w:r>
      <w:r>
        <w:t xml:space="preserve">for the total company.</w:t>
      </w:r>
    </w:p>
    <w:p>
      <w:pPr>
        <w:pStyle w:val="Compact"/>
        <w:numPr>
          <w:ilvl w:val="0"/>
          <w:numId w:val="1002"/>
        </w:numPr>
      </w:pPr>
      <w:r>
        <w:rPr>
          <w:b/>
          <w:bCs/>
        </w:rPr>
        <w:t xml:space="preserve">Financial Solutions to decline at the high end of mid-single digits</w:t>
      </w:r>
      <w:r>
        <w:t xml:space="preserve"> </w:t>
      </w:r>
      <w:r>
        <w:t xml:space="preserve">in Q2 — the most acute quarter of nonrecurring headwinds, especially in</w:t>
      </w:r>
      <w:r>
        <w:t xml:space="preserve"> </w:t>
      </w:r>
      <w:r>
        <w:rPr>
          <w:b/>
          <w:bCs/>
        </w:rPr>
        <w:t xml:space="preserve">Issuing/Output Solutions</w:t>
      </w:r>
      <w:r>
        <w:t xml:space="preserve"> </w:t>
      </w:r>
      <w:r>
        <w:t xml:space="preserve">(lapping teens growth in Q2 2025) plus tough Banking/Digital comps.</w:t>
      </w:r>
    </w:p>
    <w:p>
      <w:pPr>
        <w:pStyle w:val="Compact"/>
        <w:numPr>
          <w:ilvl w:val="0"/>
          <w:numId w:val="1002"/>
        </w:numPr>
      </w:pPr>
      <w:r>
        <w:rPr>
          <w:b/>
          <w:bCs/>
        </w:rPr>
        <w:t xml:space="preserve">Clover Q2 = peak nonrecurring drag.</w:t>
      </w:r>
      <w:r>
        <w:t xml:space="preserve"> </w:t>
      </w:r>
      <w:r>
        <w:t xml:space="preserve">Reported Clover revenue growth will again look optically soft (Q1 was +6% reported vs. ~mid-teens ex-nonrecurring/hardware), but</w:t>
      </w:r>
      <w:r>
        <w:t xml:space="preserve"> </w:t>
      </w:r>
      <w:r>
        <w:rPr>
          <w:b/>
          <w:bCs/>
        </w:rPr>
        <w:t xml:space="preserve">Clover payment-processing revenue should track GPV</w:t>
      </w:r>
      <w:r>
        <w:t xml:space="preserve">.</w:t>
      </w:r>
    </w:p>
    <w:p>
      <w:pPr>
        <w:pStyle w:val="Compact"/>
        <w:numPr>
          <w:ilvl w:val="0"/>
          <w:numId w:val="1002"/>
        </w:numPr>
      </w:pPr>
      <w:r>
        <w:rPr>
          <w:b/>
          <w:bCs/>
        </w:rPr>
        <w:t xml:space="preserve">First-half adjusted operating margin ~31–32%</w:t>
      </w:r>
      <w:r>
        <w:t xml:space="preserve">, with a big second-half ramp to 35–36%. Q2 margin will look weak against the year-ago 39.6%.</w:t>
      </w:r>
    </w:p>
    <w:bookmarkStart w:id="12" w:name="Xcd3a9a144b25f1b28708e27c8d373583a74cb74"/>
    <w:p>
      <w:pPr>
        <w:pStyle w:val="Heading3"/>
      </w:pPr>
      <w:r>
        <w:t xml:space="preserve">Full-year 2026 framework (reaffirmed at CEO transition)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2026 Guide</w:t>
            </w:r>
          </w:p>
        </w:tc>
      </w:tr>
      <w:tr>
        <w:tc>
          <w:tcPr/>
          <w:p>
            <w:pPr>
              <w:pStyle w:val="Compact"/>
            </w:pPr>
            <w:r>
              <w:t xml:space="preserve">Organic revenue growth</w:t>
            </w:r>
          </w:p>
        </w:tc>
        <w:tc>
          <w:tcPr/>
          <w:p>
            <w:pPr>
              <w:pStyle w:val="Compact"/>
            </w:pPr>
            <w:r>
              <w:rPr>
                <w:b/>
                <w:bCs/>
              </w:rPr>
              <w:t xml:space="preserve">1% – 3%</w:t>
            </w:r>
            <w:r>
              <w:t xml:space="preserve"> </w:t>
            </w:r>
            <w:r>
              <w:t xml:space="preserve">(Merchant mid-single digits; Financial flat to slightly down)</w:t>
            </w:r>
          </w:p>
        </w:tc>
      </w:tr>
      <w:tr>
        <w:tc>
          <w:tcPr/>
          <w:p>
            <w:pPr>
              <w:pStyle w:val="Compact"/>
            </w:pPr>
            <w:r>
              <w:t xml:space="preserve">Adjusted revenue growth</w:t>
            </w:r>
          </w:p>
        </w:tc>
        <w:tc>
          <w:tcPr/>
          <w:p>
            <w:pPr>
              <w:pStyle w:val="Compact"/>
            </w:pPr>
            <w:r>
              <w:t xml:space="preserve">1% – 3%</w:t>
            </w:r>
          </w:p>
        </w:tc>
      </w:tr>
      <w:tr>
        <w:tc>
          <w:tcPr/>
          <w:p>
            <w:pPr>
              <w:pStyle w:val="Compact"/>
            </w:pPr>
            <w:r>
              <w:t xml:space="preserve">Adjusted EPS</w:t>
            </w:r>
          </w:p>
        </w:tc>
        <w:tc>
          <w:tcPr/>
          <w:p>
            <w:pPr>
              <w:pStyle w:val="Compact"/>
            </w:pPr>
            <w:r>
              <w:rPr>
                <w:b/>
                <w:bCs/>
              </w:rPr>
              <w:t xml:space="preserve">$8.00 – $8.30</w:t>
            </w:r>
          </w:p>
        </w:tc>
      </w:tr>
      <w:tr>
        <w:tc>
          <w:tcPr/>
          <w:p>
            <w:pPr>
              <w:pStyle w:val="Compact"/>
            </w:pPr>
            <w:r>
              <w:t xml:space="preserve">Adjusted operating margin</w:t>
            </w:r>
          </w:p>
        </w:tc>
        <w:tc>
          <w:tcPr/>
          <w:p>
            <w:pPr>
              <w:pStyle w:val="Compact"/>
            </w:pPr>
            <w:r>
              <w:rPr>
                <w:b/>
                <w:bCs/>
              </w:rPr>
              <w:t xml:space="preserve">~34%</w:t>
            </w:r>
            <w:r>
              <w:t xml:space="preserve"> </w:t>
            </w:r>
            <w:r>
              <w:t xml:space="preserve">(H1 31–32%, H2 35–36%, Q4 the peak)</w:t>
            </w:r>
          </w:p>
        </w:tc>
      </w:tr>
      <w:tr>
        <w:tc>
          <w:tcPr/>
          <w:p>
            <w:pPr>
              <w:pStyle w:val="Compact"/>
            </w:pPr>
            <w:r>
              <w:t xml:space="preserve">Adjusted tax rate</w:t>
            </w:r>
          </w:p>
        </w:tc>
        <w:tc>
          <w:tcPr/>
          <w:p>
            <w:pPr>
              <w:pStyle w:val="Compact"/>
            </w:pPr>
            <w:r>
              <w:t xml:space="preserve">19% – 19.5%</w:t>
            </w:r>
          </w:p>
        </w:tc>
      </w:tr>
      <w:tr>
        <w:tc>
          <w:tcPr/>
          <w:p>
            <w:pPr>
              <w:pStyle w:val="Compact"/>
            </w:pPr>
            <w:r>
              <w:t xml:space="preserve">Weighted avg. shares</w:t>
            </w:r>
          </w:p>
        </w:tc>
        <w:tc>
          <w:tcPr/>
          <w:p>
            <w:pPr>
              <w:pStyle w:val="Compact"/>
            </w:pPr>
            <w:r>
              <w:t xml:space="preserve">~530M</w:t>
            </w:r>
          </w:p>
        </w:tc>
      </w:tr>
      <w:tr>
        <w:tc>
          <w:tcPr/>
          <w:p>
            <w:pPr>
              <w:pStyle w:val="Compact"/>
            </w:pPr>
            <w:r>
              <w:t xml:space="preserve">FCF conversion</w:t>
            </w:r>
          </w:p>
        </w:tc>
        <w:tc>
          <w:tcPr/>
          <w:p>
            <w:pPr>
              <w:pStyle w:val="Compact"/>
            </w:pPr>
            <w:r>
              <w:t xml:space="preserve">~90% of adj. net income</w:t>
            </w:r>
          </w:p>
        </w:tc>
      </w:tr>
      <w:tr>
        <w:tc>
          <w:tcPr/>
          <w:p>
            <w:pPr>
              <w:pStyle w:val="Compact"/>
            </w:pPr>
            <w:r>
              <w:t xml:space="preserve">Year-end gross leverage</w:t>
            </w:r>
          </w:p>
        </w:tc>
        <w:tc>
          <w:tcPr/>
          <w:p>
            <w:pPr>
              <w:pStyle w:val="Compact"/>
            </w:pPr>
            <w:r>
              <w:t xml:space="preserve">~3.0x (was ~3.2x at Q1)</w:t>
            </w:r>
          </w:p>
        </w:tc>
      </w:tr>
    </w:tbl>
    <w:p>
      <w:pPr>
        <w:pStyle w:val="BodyText"/>
      </w:pPr>
      <w:r>
        <w:t xml:space="preserve">Note the</w:t>
      </w:r>
      <w:r>
        <w:t xml:space="preserve"> </w:t>
      </w:r>
      <w:r>
        <w:rPr>
          <w:b/>
          <w:bCs/>
        </w:rPr>
        <w:t xml:space="preserve">~20% EPS reset</w:t>
      </w:r>
      <w:r>
        <w:t xml:space="preserve">: 2026's</w:t>
      </w:r>
      <w:r>
        <w:t xml:space="preserve"> </w:t>
      </w:r>
      <m:oMath>
        <m:r>
          <m:t>8.00</m:t>
        </m:r>
        <m:r>
          <m:rPr>
            <m:sty m:val="p"/>
          </m:rPr>
          <m:t>–</m:t>
        </m:r>
      </m:oMath>
      <w:r>
        <w:t xml:space="preserve">8.30 is well below 2025's ~$10.20 area — 2026 is explicitly a "transition year" absorbing investment spend, lapping nonrecurring revenue, and normalizing margins.</w:t>
      </w:r>
    </w:p>
    <w:p>
      <w:r>
        <w:pict>
          <v:rect style="width:0;height:1.5pt" o:hralign="center" o:hrstd="t" o:hr="t"/>
        </w:pict>
      </w:r>
    </w:p>
    <w:bookmarkEnd w:id="12"/>
    <w:bookmarkEnd w:id="13"/>
    <w:bookmarkStart w:id="14" w:name="Xba61fb0af628c3bc6cdeedcc330fd89c056fd5b"/>
    <w:p>
      <w:pPr>
        <w:pStyle w:val="Heading2"/>
      </w:pPr>
      <w:r>
        <w:t xml:space="preserve">3. The year-ago comp — why the optics will look ugly</w:t>
      </w:r>
    </w:p>
    <w:p>
      <w:pPr>
        <w:pStyle w:val="FirstParagraph"/>
      </w:pPr>
      <w:r>
        <w:t xml:space="preserve">Q2 2026 laps Fiserv's last "old-model" strong quarter: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 2025 (year-ago base)</w:t>
            </w:r>
          </w:p>
        </w:tc>
        <w:tc>
          <w:tcPr/>
          <w:p>
            <w:pPr>
              <w:pStyle w:val="Compact"/>
            </w:pPr>
            <w:r>
              <w:t xml:space="preserve">Result</w:t>
            </w:r>
          </w:p>
        </w:tc>
      </w:tr>
      <w:tr>
        <w:tc>
          <w:tcPr/>
          <w:p>
            <w:pPr>
              <w:pStyle w:val="Compact"/>
            </w:pPr>
            <w:r>
              <w:t xml:space="preserve">Adjusted revenue</w:t>
            </w:r>
          </w:p>
        </w:tc>
        <w:tc>
          <w:tcPr/>
          <w:p>
            <w:pPr>
              <w:pStyle w:val="Compact"/>
            </w:pPr>
            <w:r>
              <w:rPr>
                <w:b/>
                <w:bCs/>
              </w:rPr>
              <w:t xml:space="preserve">$5.20B</w:t>
            </w:r>
            <w:r>
              <w:t xml:space="preserve">, +8%</w:t>
            </w:r>
          </w:p>
        </w:tc>
      </w:tr>
      <w:tr>
        <w:tc>
          <w:tcPr/>
          <w:p>
            <w:pPr>
              <w:pStyle w:val="Compact"/>
            </w:pPr>
            <w:r>
              <w:t xml:space="preserve">Organic revenue</w:t>
            </w:r>
          </w:p>
        </w:tc>
        <w:tc>
          <w:tcPr/>
          <w:p>
            <w:pPr>
              <w:pStyle w:val="Compact"/>
            </w:pPr>
            <w:r>
              <w:rPr>
                <w:b/>
                <w:bCs/>
              </w:rPr>
              <w:t xml:space="preserve">+8%</w:t>
            </w:r>
            <w:r>
              <w:t xml:space="preserve"> </w:t>
            </w:r>
            <w:r>
              <w:t xml:space="preserve">(Merchant +9%, Financial +7%)</w:t>
            </w:r>
          </w:p>
        </w:tc>
      </w:tr>
      <w:tr>
        <w:tc>
          <w:tcPr/>
          <w:p>
            <w:pPr>
              <w:pStyle w:val="Compact"/>
            </w:pPr>
            <w:r>
              <w:t xml:space="preserve">Adjusted EPS</w:t>
            </w:r>
          </w:p>
        </w:tc>
        <w:tc>
          <w:tcPr/>
          <w:p>
            <w:pPr>
              <w:pStyle w:val="Compact"/>
            </w:pPr>
            <w:r>
              <w:rPr>
                <w:b/>
                <w:bCs/>
              </w:rPr>
              <w:t xml:space="preserve">$2.47</w:t>
            </w:r>
            <w:r>
              <w:t xml:space="preserve">, +16%</w:t>
            </w:r>
          </w:p>
        </w:tc>
      </w:tr>
      <w:tr>
        <w:tc>
          <w:tcPr/>
          <w:p>
            <w:pPr>
              <w:pStyle w:val="Compact"/>
            </w:pPr>
            <w:r>
              <w:t xml:space="preserve">Adjusted operating margin</w:t>
            </w:r>
          </w:p>
        </w:tc>
        <w:tc>
          <w:tcPr/>
          <w:p>
            <w:pPr>
              <w:pStyle w:val="Compact"/>
            </w:pPr>
            <w:r>
              <w:rPr>
                <w:b/>
                <w:bCs/>
              </w:rPr>
              <w:t xml:space="preserve">39.6%</w:t>
            </w:r>
          </w:p>
        </w:tc>
      </w:tr>
      <w:tr>
        <w:tc>
          <w:tcPr/>
          <w:p>
            <w:pPr>
              <w:pStyle w:val="Compact"/>
            </w:pPr>
            <w:r>
              <w:t xml:space="preserve">Merchant / Financial op. margin</w:t>
            </w:r>
          </w:p>
        </w:tc>
        <w:tc>
          <w:tcPr/>
          <w:p>
            <w:pPr>
              <w:pStyle w:val="Compact"/>
            </w:pPr>
            <w:r>
              <w:t xml:space="preserve">34.6% / 48.7%</w:t>
            </w:r>
          </w:p>
        </w:tc>
      </w:tr>
    </w:tbl>
    <w:p>
      <w:pPr>
        <w:pStyle w:val="BodyText"/>
      </w:pPr>
      <w:r>
        <w:t xml:space="preserve">Against that, Q2 2026 revenue will likely be</w:t>
      </w:r>
      <w:r>
        <w:t xml:space="preserve"> </w:t>
      </w:r>
      <w:r>
        <w:rPr>
          <w:b/>
          <w:bCs/>
        </w:rPr>
        <w:t xml:space="preserve">down year over year</w:t>
      </w:r>
      <w:r>
        <w:t xml:space="preserve"> </w:t>
      </w:r>
      <w:r>
        <w:t xml:space="preserve">and adjusted EPS meaningfully below</w:t>
      </w:r>
      <w:r>
        <w:t xml:space="preserve"> </w:t>
      </w:r>
      <m:oMath>
        <m:r>
          <m:t>2.47</m:t>
        </m:r>
        <m:r>
          <m:rPr>
            <m:sty m:val="p"/>
          </m:rPr>
          <m:t>.</m:t>
        </m:r>
        <m:r>
          <m:t>A</m:t>
        </m:r>
        <m:r>
          <m:t>m</m:t>
        </m:r>
        <m:r>
          <m:t>o</m:t>
        </m:r>
        <m:r>
          <m:t>d</m:t>
        </m:r>
        <m:r>
          <m:t>e</m:t>
        </m:r>
        <m:r>
          <m:t>l</m:t>
        </m:r>
        <m:r>
          <m:t>e</m:t>
        </m:r>
        <m:r>
          <m:t>d</m:t>
        </m:r>
        <m:r>
          <m:t>r</m:t>
        </m:r>
        <m:r>
          <m:t>e</m:t>
        </m:r>
        <m:r>
          <m:t>f</m:t>
        </m:r>
        <m:r>
          <m:t>e</m:t>
        </m:r>
        <m:r>
          <m:t>r</m:t>
        </m:r>
        <m:r>
          <m:t>e</m:t>
        </m:r>
        <m:r>
          <m:t>n</m:t>
        </m:r>
        <m:r>
          <m:t>c</m:t>
        </m:r>
        <m:r>
          <m:t>e</m:t>
        </m:r>
        <m:r>
          <m:t>p</m:t>
        </m:r>
        <m:r>
          <m:t>o</m:t>
        </m:r>
        <m:r>
          <m:t>i</m:t>
        </m:r>
        <m:r>
          <m:t>n</m:t>
        </m:r>
        <m:r>
          <m:t>t</m:t>
        </m:r>
        <m:r>
          <m:rPr>
            <m:sty m:val="p"/>
          </m:rPr>
          <m:t>:</m:t>
        </m:r>
        <m:r>
          <m:t>Q</m:t>
        </m:r>
        <m:r>
          <m:t>1</m:t>
        </m:r>
        <m:r>
          <m:t>2026</m:t>
        </m:r>
        <m:r>
          <m:t>p</m:t>
        </m:r>
        <m:r>
          <m:t>r</m:t>
        </m:r>
        <m:r>
          <m:t>i</m:t>
        </m:r>
        <m:r>
          <m:t>n</m:t>
        </m:r>
        <m:r>
          <m:t>t</m:t>
        </m:r>
        <m:r>
          <m:t>e</m:t>
        </m:r>
        <m:r>
          <m:t>d</m:t>
        </m:r>
        <m:r>
          <m:t>a</m:t>
        </m:r>
        <m:r>
          <m:t>d</m:t>
        </m:r>
        <m:r>
          <m:t>j</m:t>
        </m:r>
        <m:r>
          <m:t>u</m:t>
        </m:r>
        <m:r>
          <m:t>s</m:t>
        </m:r>
        <m:r>
          <m:t>t</m:t>
        </m:r>
        <m:r>
          <m:t>e</m:t>
        </m:r>
        <m:r>
          <m:t>d</m:t>
        </m:r>
        <m:r>
          <m:t>r</m:t>
        </m:r>
        <m:r>
          <m:t>e</m:t>
        </m:r>
        <m:r>
          <m:t>v</m:t>
        </m:r>
        <m:r>
          <m:t>e</m:t>
        </m:r>
        <m:r>
          <m:t>n</m:t>
        </m:r>
        <m:r>
          <m:t>u</m:t>
        </m:r>
        <m:r>
          <m:t>e</m:t>
        </m:r>
        <m:r>
          <m:t>o</m:t>
        </m:r>
        <m:r>
          <m:t>f</m:t>
        </m:r>
        <m:r>
          <m:rPr>
            <m:sty m:val="p"/>
          </m:rPr>
          <m:t>*</m:t>
        </m:r>
        <m:r>
          <m:rPr>
            <m:sty m:val="p"/>
          </m:rPr>
          <m:t>*</m:t>
        </m:r>
      </m:oMath>
      <w:r>
        <w:t xml:space="preserve">4.68B (-2.4%)**, organic</w:t>
      </w:r>
      <w:r>
        <w:t xml:space="preserve"> </w:t>
      </w:r>
      <w:r>
        <w:rPr>
          <w:b/>
          <w:bCs/>
        </w:rPr>
        <w:t xml:space="preserve">-3.6%</w:t>
      </w:r>
      <w:r>
        <w:t xml:space="preserve">, margin</w:t>
      </w:r>
      <w:r>
        <w:t xml:space="preserve"> </w:t>
      </w:r>
      <w:r>
        <w:rPr>
          <w:b/>
          <w:bCs/>
        </w:rPr>
        <w:t xml:space="preserve">29.7%</w:t>
      </w:r>
      <w:r>
        <w:t xml:space="preserve">, and adjusted EPS of</w:t>
      </w:r>
      <w:r>
        <w:t xml:space="preserve"> </w:t>
      </w:r>
      <m:oMath>
        <m:r>
          <m:t>1.79</m:t>
        </m:r>
        <m:r>
          <m:rPr>
            <m:sty m:val="p"/>
          </m:rPr>
          <m:t>*</m:t>
        </m:r>
        <m:r>
          <m:rPr>
            <m:sty m:val="p"/>
          </m:rPr>
          <m:t>*</m:t>
        </m:r>
        <m:r>
          <m:rPr>
            <m:sty m:val="p"/>
          </m:rPr>
          <m:t>—</m:t>
        </m:r>
        <m:r>
          <m:t>b</m:t>
        </m:r>
        <m:r>
          <m:t>u</m:t>
        </m:r>
        <m:r>
          <m:t>t</m:t>
        </m:r>
        <m:r>
          <m:t>t</m:t>
        </m:r>
        <m:r>
          <m:t>h</m:t>
        </m:r>
        <m:r>
          <m:t>a</m:t>
        </m:r>
        <m:r>
          <m:t>t</m:t>
        </m:r>
        <m:r>
          <m:t>E</m:t>
        </m:r>
        <m:r>
          <m:t>P</m:t>
        </m:r>
        <m:r>
          <m:t>S</m:t>
        </m:r>
        <m:r>
          <m:t>i</m:t>
        </m:r>
        <m:r>
          <m:t>n</m:t>
        </m:r>
        <m:r>
          <m:t>c</m:t>
        </m:r>
        <m:r>
          <m:t>l</m:t>
        </m:r>
        <m:r>
          <m:t>u</m:t>
        </m:r>
        <m:r>
          <m:t>d</m:t>
        </m:r>
        <m:r>
          <m:t>e</m:t>
        </m:r>
        <m:r>
          <m:t>d</m:t>
        </m:r>
        <m:r>
          <m:t>a</m:t>
        </m:r>
        <m:r>
          <m:rPr>
            <m:sty m:val="p"/>
          </m:rPr>
          <m:t>*</m:t>
        </m:r>
        <m:r>
          <m:rPr>
            <m:sty m:val="p"/>
          </m:rPr>
          <m:t>*</m:t>
        </m:r>
        <m:r>
          <m:t> </m:t>
        </m:r>
      </m:oMath>
      <w:r>
        <w:rPr>
          <w:b/>
          <w:bCs/>
        </w:rPr>
        <w:t xml:space="preserve">0.17 one-time tax benefit</w:t>
      </w:r>
      <w:r>
        <w:t xml:space="preserve"> </w:t>
      </w:r>
      <w:r>
        <w:t xml:space="preserve">(11% Q1 tax rate), which reverses via</w:t>
      </w:r>
      <w:r>
        <w:t xml:space="preserve"> </w:t>
      </w:r>
      <w:r>
        <w:rPr>
          <w:b/>
          <w:bCs/>
        </w:rPr>
        <w:t xml:space="preserve">higher tax rates in Q2–Q4</w:t>
      </w:r>
      <w:r>
        <w:t xml:space="preserve">. So watch for a below-the-line tax</w:t>
      </w:r>
      <w:r>
        <w:t xml:space="preserve"> </w:t>
      </w:r>
      <w:r>
        <w:rPr>
          <w:b/>
          <w:bCs/>
        </w:rPr>
        <w:t xml:space="preserve">headwind</w:t>
      </w:r>
      <w:r>
        <w:t xml:space="preserve"> </w:t>
      </w:r>
      <w:r>
        <w:t xml:space="preserve">in Q2 relative to a normalized ~19.5% rate.</w:t>
      </w:r>
    </w:p>
    <w:p>
      <w:r>
        <w:pict>
          <v:rect style="width:0;height:1.5pt" o:hralign="center" o:hrstd="t" o:hr="t"/>
        </w:pict>
      </w:r>
    </w:p>
    <w:bookmarkEnd w:id="14"/>
    <w:bookmarkStart w:id="15" w:name="X414101c38241084641ad7d572a9b776412a4d89"/>
    <w:p>
      <w:pPr>
        <w:pStyle w:val="Heading2"/>
      </w:pPr>
      <w:r>
        <w:t xml:space="preserve">4. The five things that actually matter tomorrow</w:t>
      </w:r>
    </w:p>
    <w:p>
      <w:pPr>
        <w:pStyle w:val="FirstParagraph"/>
      </w:pPr>
      <w:r>
        <w:rPr>
          <w:b/>
          <w:bCs/>
        </w:rPr>
        <w:t xml:space="preserve">1) The new CEO's tone and any "reset."</w:t>
      </w:r>
      <w:r>
        <w:t xml:space="preserve"> </w:t>
      </w:r>
      <w:r>
        <w:t xml:space="preserve">Georgakopoulos's first call as CEO. The key question: does he</w:t>
      </w:r>
      <w:r>
        <w:t xml:space="preserve"> </w:t>
      </w:r>
      <w:r>
        <w:rPr>
          <w:b/>
          <w:bCs/>
        </w:rPr>
        <w:t xml:space="preserve">reaffirm</w:t>
      </w:r>
      <w:r>
        <w:t xml:space="preserve"> </w:t>
      </w:r>
      <w:r>
        <w:t xml:space="preserve">the</w:t>
      </w:r>
      <w:r>
        <w:t xml:space="preserve"> </w:t>
      </w:r>
      <m:oMath>
        <m:r>
          <m:t>8.00</m:t>
        </m:r>
        <m:r>
          <m:rPr>
            <m:sty m:val="p"/>
          </m:rPr>
          <m:t>–</m:t>
        </m:r>
      </m:oMath>
      <w:r>
        <w:t xml:space="preserve">8.30 EPS / 1–3% organic frame, or use his first quarter to</w:t>
      </w:r>
      <w:r>
        <w:t xml:space="preserve"> </w:t>
      </w:r>
      <w:r>
        <w:rPr>
          <w:b/>
          <w:bCs/>
        </w:rPr>
        <w:t xml:space="preserve">rebase</w:t>
      </w:r>
      <w:r>
        <w:t xml:space="preserve"> </w:t>
      </w:r>
      <w:r>
        <w:t xml:space="preserve">expectations (a classic new-CEO move)? Any change to the mid-single-digit-revenue / double-digit-EPS long-term algorithm laid out at the May Investor Day will move the stock more than the quarter itself.</w:t>
      </w:r>
    </w:p>
    <w:p>
      <w:pPr>
        <w:pStyle w:val="BodyText"/>
      </w:pPr>
      <w:r>
        <w:rPr>
          <w:b/>
          <w:bCs/>
        </w:rPr>
        <w:t xml:space="preserve">2) The debit-network (STAR/Accel) situation.</w:t>
      </w:r>
      <w:r>
        <w:t xml:space="preserve"> </w:t>
      </w:r>
      <w:r>
        <w:t xml:space="preserve">Expect analysts to press on the reported big-bank interest. Watch for any confirmation of a strategic review, portfolio/disposition commentary (Lyons had flagged "evaluating potential dispositions"), and the tension flagged by skeptics (e.g., William Blair): selling to large banks could</w:t>
      </w:r>
      <w:r>
        <w:t xml:space="preserve"> </w:t>
      </w:r>
      <w:r>
        <w:rPr>
          <w:b/>
          <w:bCs/>
        </w:rPr>
        <w:t xml:space="preserve">alienate the community-bank/credit-union base</w:t>
      </w:r>
      <w:r>
        <w:t xml:space="preserve"> </w:t>
      </w:r>
      <w:r>
        <w:t xml:space="preserve">that benefits from Durbin. Any hard data point here is a catalyst.</w:t>
      </w:r>
    </w:p>
    <w:p>
      <w:pPr>
        <w:pStyle w:val="BodyText"/>
      </w:pPr>
      <w:r>
        <w:rPr>
          <w:b/>
          <w:bCs/>
        </w:rPr>
        <w:t xml:space="preserve">3) Clover — GPV and "clean" growth.</w:t>
      </w:r>
      <w:r>
        <w:t xml:space="preserve"> </w:t>
      </w:r>
      <w:r>
        <w:t xml:space="preserve">Clover is the growth engine and the most-watched KPI. Reported Q2 growth will be depressed by peak hardware/nonrecurring comps, so focus on:</w:t>
      </w:r>
      <w:r>
        <w:t xml:space="preserve"> </w:t>
      </w:r>
      <w:r>
        <w:rPr>
          <w:b/>
          <w:bCs/>
        </w:rPr>
        <w:t xml:space="preserve">GPV growth (guided 10–15% ex-gateway, ~12% ex-gateway in Q1)</w:t>
      </w:r>
      <w:r>
        <w:t xml:space="preserve">, processing revenue tracking GPV, VAS attach (27% of Clover revenue, +18% in Q1), and traction in new verticals (PracticePay/healthcare, Professional Services), international (Brazil, TD Canada), and Clover Capital. The full-year Clover revenue guide is</w:t>
      </w:r>
      <w:r>
        <w:t xml:space="preserve"> </w:t>
      </w:r>
      <w:r>
        <w:rPr>
          <w:b/>
          <w:bCs/>
        </w:rPr>
        <w:t xml:space="preserve">low double digits</w:t>
      </w:r>
      <w:r>
        <w:t xml:space="preserve"> </w:t>
      </w:r>
      <w:r>
        <w:t xml:space="preserve">— management needs Q2 to keep that credible.</w:t>
      </w:r>
    </w:p>
    <w:p>
      <w:pPr>
        <w:pStyle w:val="BodyText"/>
      </w:pPr>
      <w:r>
        <w:rPr>
          <w:b/>
          <w:bCs/>
        </w:rPr>
        <w:t xml:space="preserve">4) Financial Solutions — is the trough really the trough?</w:t>
      </w:r>
      <w:r>
        <w:t xml:space="preserve"> </w:t>
      </w:r>
      <w:r>
        <w:t xml:space="preserve">This is the crux of the bear case. Watch</w:t>
      </w:r>
      <w:r>
        <w:t xml:space="preserve"> </w:t>
      </w:r>
      <w:r>
        <w:rPr>
          <w:b/>
          <w:bCs/>
        </w:rPr>
        <w:t xml:space="preserve">core bank account attrition</w:t>
      </w:r>
      <w:r>
        <w:t xml:space="preserve"> </w:t>
      </w:r>
      <w:r>
        <w:t xml:space="preserve">(down 2% y/y in Q1, still "above long-term target"), retention KPIs (Lyons cited high-impact incidents down ~60%, resolution time down 27%), and whether underlying volumes (debit, Zelle +18%, Finxact accounts +70%) support the "flat-ish clean base" narrative. Management needs to convince investors that H2 re-acceleration is contracted/visible, not hopeful.</w:t>
      </w:r>
    </w:p>
    <w:p>
      <w:pPr>
        <w:pStyle w:val="BodyText"/>
      </w:pPr>
      <w:r>
        <w:rPr>
          <w:b/>
          <w:bCs/>
        </w:rPr>
        <w:t xml:space="preserve">5) Margins and capital allocation.</w:t>
      </w:r>
      <w:r>
        <w:t xml:space="preserve"> </w:t>
      </w:r>
      <w:r>
        <w:t xml:space="preserve">Q2 margin will trough near the low-30s vs. 39.6% a year ago — investors want confidence in the H2 35–36% ramp and</w:t>
      </w:r>
      <w:r>
        <w:t xml:space="preserve"> </w:t>
      </w:r>
      <w:r>
        <w:rPr>
          <w:b/>
          <w:bCs/>
        </w:rPr>
        <w:t xml:space="preserve">Project Elevate</w:t>
      </w:r>
      <w:r>
        <w:t xml:space="preserve"> </w:t>
      </w:r>
      <w:r>
        <w:t xml:space="preserve">(AI-driven cost/revenue program) delivering. Also watch the</w:t>
      </w:r>
      <w:r>
        <w:t xml:space="preserve"> </w:t>
      </w:r>
      <w:r>
        <w:rPr>
          <w:b/>
          <w:bCs/>
        </w:rPr>
        <w:t xml:space="preserve">buyback pace</w:t>
      </w:r>
      <w:r>
        <w:t xml:space="preserve">: Fiserv pulled way back to ~</w:t>
      </w:r>
      <m:oMath>
        <m:r>
          <m:t>200</m:t>
        </m:r>
        <m:r>
          <m:t>M</m:t>
        </m:r>
        <m:r>
          <m:rPr>
            <m:sty m:val="p"/>
          </m:rPr>
          <m:t>/</m:t>
        </m:r>
        <m:r>
          <m:t>3.3</m:t>
        </m:r>
        <m:r>
          <m:t>M</m:t>
        </m:r>
        <m:r>
          <m:t>s</m:t>
        </m:r>
        <m:r>
          <m:t>h</m:t>
        </m:r>
        <m:r>
          <m:t>a</m:t>
        </m:r>
        <m:r>
          <m:t>r</m:t>
        </m:r>
        <m:r>
          <m:t>e</m:t>
        </m:r>
        <m:r>
          <m:t>s</m:t>
        </m:r>
        <m:r>
          <m:t>i</m:t>
        </m:r>
        <m:r>
          <m:t>n</m:t>
        </m:r>
        <m:r>
          <m:t>Q</m:t>
        </m:r>
        <m:r>
          <m:t>1</m:t>
        </m:r>
        <m:r>
          <m:rPr>
            <m:sty m:val="p"/>
          </m:rPr>
          <m:t>(</m:t>
        </m:r>
        <m:r>
          <m:t>v</m:t>
        </m:r>
        <m:r>
          <m:t>s</m:t>
        </m:r>
        <m:r>
          <m:rPr>
            <m:sty m:val="p"/>
          </m:rPr>
          <m:t>.</m:t>
        </m:r>
        <m:r>
          <m:t> </m:t>
        </m:r>
      </m:oMath>
      <w:r>
        <w:t xml:space="preserve">2.2B/quarter in 2025) to hit ~3.0x leverage. Any change in repurchase posture given the depressed share price is notable.</w:t>
      </w:r>
    </w:p>
    <w:p>
      <w:r>
        <w:pict>
          <v:rect style="width:0;height:1.5pt" o:hralign="center" o:hrstd="t" o:hr="t"/>
        </w:pict>
      </w:r>
    </w:p>
    <w:bookmarkEnd w:id="15"/>
    <w:bookmarkStart w:id="16" w:name="X618272b9483198b29628ade37b62443a0380170"/>
    <w:p>
      <w:pPr>
        <w:pStyle w:val="Heading2"/>
      </w:pPr>
      <w:r>
        <w:t xml:space="preserve">5. Other watch items</w:t>
      </w:r>
    </w:p>
    <w:p>
      <w:pPr>
        <w:pStyle w:val="Compact"/>
        <w:numPr>
          <w:ilvl w:val="0"/>
          <w:numId w:val="1003"/>
        </w:numPr>
      </w:pPr>
      <w:r>
        <w:rPr>
          <w:b/>
          <w:bCs/>
        </w:rPr>
        <w:t xml:space="preserve">Argentina:</w:t>
      </w:r>
      <w:r>
        <w:t xml:space="preserve"> </w:t>
      </w:r>
      <w:r>
        <w:t xml:space="preserve">lower inflation/rates are a Merchant</w:t>
      </w:r>
      <w:r>
        <w:t xml:space="preserve"> </w:t>
      </w:r>
      <w:r>
        <w:rPr>
          <w:b/>
          <w:bCs/>
        </w:rPr>
        <w:t xml:space="preserve">revenue headwind</w:t>
      </w:r>
      <w:r>
        <w:t xml:space="preserve"> </w:t>
      </w:r>
      <w:r>
        <w:t xml:space="preserve">but largely offset by lower interest expense below the line — a wash on EPS, but it muddies Merchant organic optics.</w:t>
      </w:r>
    </w:p>
    <w:p>
      <w:pPr>
        <w:pStyle w:val="Compact"/>
        <w:numPr>
          <w:ilvl w:val="0"/>
          <w:numId w:val="1003"/>
        </w:numPr>
      </w:pPr>
      <w:r>
        <w:rPr>
          <w:b/>
          <w:bCs/>
        </w:rPr>
        <w:t xml:space="preserve">Macro / consumer:</w:t>
      </w:r>
      <w:r>
        <w:t xml:space="preserve"> </w:t>
      </w:r>
      <w:r>
        <w:t xml:space="preserve">gas-price-driven spend-mix shifts (flagged via the Fiserv Small Business Index); April volumes were holding near Q1 levels as of the last update.</w:t>
      </w:r>
    </w:p>
    <w:p>
      <w:pPr>
        <w:pStyle w:val="Compact"/>
        <w:numPr>
          <w:ilvl w:val="0"/>
          <w:numId w:val="1003"/>
        </w:numPr>
      </w:pPr>
      <w:r>
        <w:rPr>
          <w:b/>
          <w:bCs/>
        </w:rPr>
        <w:t xml:space="preserve">Non-Clover SMB back book:</w:t>
      </w:r>
      <w:r>
        <w:t xml:space="preserve"> </w:t>
      </w:r>
      <w:r>
        <w:t xml:space="preserve">guided to slight growth for the year; conversion pace to Clover is a swing factor for the high end of the GPV range.</w:t>
      </w:r>
    </w:p>
    <w:p>
      <w:pPr>
        <w:pStyle w:val="Compact"/>
        <w:numPr>
          <w:ilvl w:val="0"/>
          <w:numId w:val="1003"/>
        </w:numPr>
      </w:pPr>
      <w:r>
        <w:rPr>
          <w:b/>
          <w:bCs/>
        </w:rPr>
        <w:t xml:space="preserve">Stablecoin/agentic initiatives:</w:t>
      </w:r>
      <w:r>
        <w:t xml:space="preserve"> </w:t>
      </w:r>
      <w:r>
        <w:t xml:space="preserve">FIUSD interbank pilot slated for this summer, plus agentic-commerce and a bank AI operating layer teased at Investor Day — narrative catalysts, not near-term numbers.</w:t>
      </w:r>
    </w:p>
    <w:p>
      <w:r>
        <w:pict>
          <v:rect style="width:0;height:1.5pt" o:hralign="center" o:hrstd="t" o:hr="t"/>
        </w:pict>
      </w:r>
    </w:p>
    <w:bookmarkEnd w:id="16"/>
    <w:bookmarkStart w:id="17" w:name="bottom-line"/>
    <w:p>
      <w:pPr>
        <w:pStyle w:val="Heading2"/>
      </w:pPr>
      <w:r>
        <w:t xml:space="preserve">Bottom line</w:t>
      </w:r>
    </w:p>
    <w:p>
      <w:pPr>
        <w:pStyle w:val="FirstParagraph"/>
      </w:pPr>
      <w:r>
        <w:t xml:space="preserve">Going in, Q2 is set up to be</w:t>
      </w:r>
      <w:r>
        <w:t xml:space="preserve"> </w:t>
      </w:r>
      <w:r>
        <w:rPr>
          <w:b/>
          <w:bCs/>
        </w:rPr>
        <w:t xml:space="preserve">the ugliest optical quarter of the year</w:t>
      </w:r>
      <w:r>
        <w:t xml:space="preserve"> </w:t>
      </w:r>
      <w:r>
        <w:t xml:space="preserve">(down revenue, ~20%-lower EPS, margin trough vs. a 39.6% year-ago comp) — and management pre-signaled all of it. Because the "bad" is largely known, the stock is more likely to trade on</w:t>
      </w:r>
      <w:r>
        <w:t xml:space="preserve"> </w:t>
      </w:r>
      <w:r>
        <w:rPr>
          <w:b/>
          <w:bCs/>
        </w:rPr>
        <w:t xml:space="preserve">three forward-looking swing factors</w:t>
      </w:r>
      <w:r>
        <w:t xml:space="preserve">: (1) whether new CEO Georgakopoulos</w:t>
      </w:r>
      <w:r>
        <w:t xml:space="preserve"> </w:t>
      </w:r>
      <w:r>
        <w:rPr>
          <w:b/>
          <w:bCs/>
        </w:rPr>
        <w:t xml:space="preserve">holds or resets</w:t>
      </w:r>
      <w:r>
        <w:t xml:space="preserve"> </w:t>
      </w:r>
      <w:r>
        <w:t xml:space="preserve">the full-year frame, (2) any concrete update on a</w:t>
      </w:r>
      <w:r>
        <w:t xml:space="preserve"> </w:t>
      </w:r>
      <w:r>
        <w:rPr>
          <w:b/>
          <w:bCs/>
        </w:rPr>
        <w:t xml:space="preserve">debit-network transaction</w:t>
      </w:r>
      <w:r>
        <w:t xml:space="preserve">, and (3) evidence that the</w:t>
      </w:r>
      <w:r>
        <w:t xml:space="preserve"> </w:t>
      </w:r>
      <w:r>
        <w:rPr>
          <w:b/>
          <w:bCs/>
        </w:rPr>
        <w:t xml:space="preserve">Financial Solutions trough and Clover trajectory</w:t>
      </w:r>
      <w:r>
        <w:t xml:space="preserve"> </w:t>
      </w:r>
      <w:r>
        <w:t xml:space="preserve">are genuinely inflecting toward the promised H2 re-acceleration. With shares near multi-year lows, washed-out sentiment, an activist present, and insiders buying, the risk/reward is unusually two-sided into the print.</w:t>
      </w:r>
    </w:p>
    <w:p>
      <w:pPr>
        <w:pStyle w:val="BodyText"/>
      </w:pPr>
      <w:r>
        <w:rPr>
          <w:i/>
          <w:iCs/>
        </w:rPr>
        <w:t xml:space="preserve">This is a research summary for informational purposes, not investment advice. Consensus figures were not available in my sources; comparisons here are drawn from company guidance and prior filings.</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2026-08-06T00:10:12Z</dcterms:created>
  <dcterms:modified xsi:type="dcterms:W3CDTF">2026-08-06T00:10:12Z</dcterms:modified>
</cp:coreProperties>
</file>

<file path=docProps/custom.xml><?xml version="1.0" encoding="utf-8"?>
<Properties xmlns="http://schemas.openxmlformats.org/officeDocument/2006/custom-properties" xmlns:vt="http://schemas.openxmlformats.org/officeDocument/2006/docPropsVTypes"/>
</file>