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fiserv-fisv-q2-2026-earnings-preview"/>
    <w:p>
      <w:pPr>
        <w:pStyle w:val="Heading1"/>
      </w:pPr>
      <w:r>
        <w:t xml:space="preserve">Fiserv (FISV) Q2 2026 Earnings Preview</w:t>
      </w:r>
    </w:p>
    <w:p>
      <w:pPr>
        <w:pStyle w:val="FirstParagraph"/>
      </w:pPr>
      <w:r>
        <w:rPr>
          <w:b/>
          <w:bCs/>
        </w:rPr>
        <w:t xml:space="preserve">Report date:</w:t>
      </w:r>
      <w:r>
        <w:t xml:space="preserve"> </w:t>
      </w:r>
      <w:r>
        <w:t xml:space="preserve">Thursday, August 6, 2026, before market open |</w:t>
      </w:r>
      <w:r>
        <w:t xml:space="preserve"> </w:t>
      </w:r>
      <w:r>
        <w:rPr>
          <w:b/>
          <w:bCs/>
        </w:rPr>
        <w:t xml:space="preserve">Webcast:</w:t>
      </w:r>
      <w:r>
        <w:t xml:space="preserve"> </w:t>
      </w:r>
      <w:r>
        <w:t xml:space="preserve">8:00 a.m. ET</w:t>
      </w:r>
    </w:p>
    <w:bookmarkStart w:id="9" w:name="X60c88047610992ddad2b530ef5ff44ed1abd8e9"/>
    <w:p>
      <w:pPr>
        <w:pStyle w:val="Heading2"/>
      </w:pPr>
      <w:r>
        <w:t xml:space="preserve">Setting the stage: a company still digging out of a crater</w:t>
      </w:r>
    </w:p>
    <w:p>
      <w:pPr>
        <w:pStyle w:val="FirstParagraph"/>
      </w:pPr>
      <w:r>
        <w:t xml:space="preserve">This is not a normal earnings preview. Fiserv enters Thursday's print roughly ten months removed from one of the worst single-day stock reactions in large-cap history. On October 29, 2025, shares plummeted approximately 30-40%+ following the release of disappointing third-quarter earnings results, with the stock ultimately collapsing by nearly 50% that week — the company's worst trading day on record. The proximate causes were a severe Q3 2025 miss — adjusted earnings of $2.04 per share versus a $2.65 consensus, and revenue of $4.92 billion versus expectations of $5.36 billion, with organic revenue growth slowing to just 1% year-over-year — combined with a brutal guidance cut. Fiserv slashed its full-year outlook for revenue growth from ~10% to 3.5%-4%, and dropped its adjusted EPS guidance to</w:t>
      </w:r>
      <w:r>
        <w:t xml:space="preserve"> </w:t>
      </w:r>
      <m:oMath>
        <m:r>
          <m:t>8.50</m:t>
        </m:r>
        <m:r>
          <m:rPr>
            <m:sty m:val="p"/>
          </m:rPr>
          <m:t>−</m:t>
        </m:r>
      </m:oMath>
      <w:r>
        <w:t xml:space="preserve">8.60 from</w:t>
      </w:r>
      <w:r>
        <w:t xml:space="preserve"> </w:t>
      </w:r>
      <m:oMath>
        <m:r>
          <m:t>10.15</m:t>
        </m:r>
        <m:r>
          <m:rPr>
            <m:sty m:val="p"/>
          </m:rPr>
          <m:t>−</m:t>
        </m:r>
      </m:oMath>
      <w:r>
        <w:t xml:space="preserve">10.30. The selloff also reflected an ongoing federal securities class-action lawsuit accusing the company of inflating growth figures tied to its Clover platform and a wave of leadership changes.</w:t>
      </w:r>
    </w:p>
    <w:p>
      <w:pPr>
        <w:pStyle w:val="BodyText"/>
      </w:pPr>
      <w:r>
        <w:t xml:space="preserve">Since then, the stock has kept grinding lower — from the low-</w:t>
      </w:r>
      <m:oMath>
        <m:r>
          <m:t>70</m:t>
        </m:r>
        <m:r>
          <m:t>s</m:t>
        </m:r>
        <m:r>
          <m:t>p</m:t>
        </m:r>
        <m:r>
          <m:t>o</m:t>
        </m:r>
        <m:r>
          <m:t>s</m:t>
        </m:r>
        <m:r>
          <m:t>t</m:t>
        </m:r>
        <m:r>
          <m:rPr>
            <m:sty m:val="p"/>
          </m:rPr>
          <m:t>−</m:t>
        </m:r>
        <m:r>
          <m:t>c</m:t>
        </m:r>
        <m:r>
          <m:t>r</m:t>
        </m:r>
        <m:r>
          <m:t>a</m:t>
        </m:r>
        <m:r>
          <m:t>s</m:t>
        </m:r>
        <m:r>
          <m:t>h</m:t>
        </m:r>
        <m:r>
          <m:t>t</m:t>
        </m:r>
        <m:r>
          <m:t>o</m:t>
        </m:r>
        <m:r>
          <m:t>t</m:t>
        </m:r>
        <m:r>
          <m:t>h</m:t>
        </m:r>
        <m:r>
          <m:t>e</m:t>
        </m:r>
        <m:r>
          <m:t>l</m:t>
        </m:r>
        <m:r>
          <m:t>o</m:t>
        </m:r>
        <m:r>
          <m:t>w</m:t>
        </m:r>
        <m:r>
          <m:rPr>
            <m:sty m:val="p"/>
          </m:rPr>
          <m:t>−</m:t>
        </m:r>
      </m:oMath>
      <w:r>
        <w:t xml:space="preserve">50s today — as a second shock hit in June: CEO Mike Lyons, barely a year into the job, resigned to return to banking, capping a tumultuous 13 months in the role, taking the top job at Truist. He was replaced by co-president Takis Georgakopoulos, former global head of JPMorgan Payments for over 17 years, who joined Fiserv in September 2024 and rose to COO of tech and merchant solutions. This will be new CEO Georgakopoulos's first quarterly earnings call.</w:t>
      </w:r>
    </w:p>
    <w:p>
      <w:pPr>
        <w:pStyle w:val="BodyText"/>
      </w:pPr>
      <w:r>
        <w:t xml:space="preserve">Layered on top, activist fund</w:t>
      </w:r>
      <w:r>
        <w:t xml:space="preserve"> </w:t>
      </w:r>
      <w:r>
        <w:rPr>
          <w:b/>
          <w:bCs/>
        </w:rPr>
        <w:t xml:space="preserve">Jana Partners</w:t>
      </w:r>
      <w:r>
        <w:t xml:space="preserve"> </w:t>
      </w:r>
      <w:r>
        <w:t xml:space="preserve">escalated pressure just a week before this print, sending a letter pushing Fiserv to launch a formal review of its entire portfolio rather than sell assets piecemeal. Jana praised the company for reportedly considering a sale of its debit network assets but blamed management turnover and ongoing missteps for making investors skittish, singling out the board for failing to attract and retain top executives.</w:t>
      </w:r>
    </w:p>
    <w:bookmarkEnd w:id="9"/>
    <w:bookmarkStart w:id="10" w:name="Xcd31222f774b0ef10a3c3bf2d1f3ab784b6baff"/>
    <w:p>
      <w:pPr>
        <w:pStyle w:val="Heading2"/>
      </w:pPr>
      <w:r>
        <w:t xml:space="preserve">What management has guided for — the bar the Street will hold them to</w:t>
      </w:r>
    </w:p>
    <w:p>
      <w:pPr>
        <w:pStyle w:val="FirstParagraph"/>
      </w:pPr>
      <w:r>
        <w:t xml:space="preserve">Since the reset, Fiserv has laid out a detailed "One Fiserv Action Plan" (client-first service, Clover, innovation, Project Elevate efficiency program, disciplined capital allocation) and reiterated 2026 guidance at every touchpoint since:</w:t>
      </w:r>
    </w:p>
    <w:p>
      <w:pPr>
        <w:pStyle w:val="Compact"/>
        <w:numPr>
          <w:ilvl w:val="0"/>
          <w:numId w:val="1001"/>
        </w:numPr>
      </w:pPr>
      <w:r>
        <w:rPr>
          <w:b/>
          <w:bCs/>
        </w:rPr>
        <w:t xml:space="preserve">FY2026:</w:t>
      </w:r>
      <w:r>
        <w:t xml:space="preserve"> </w:t>
      </w:r>
      <w:r>
        <w:t xml:space="preserve">organic/adjusted revenue growth of</w:t>
      </w:r>
      <w:r>
        <w:t xml:space="preserve"> </w:t>
      </w:r>
      <w:r>
        <w:rPr>
          <w:b/>
          <w:bCs/>
        </w:rPr>
        <w:t xml:space="preserve">1%-3%</w:t>
      </w:r>
      <w:r>
        <w:t xml:space="preserve">, adjusted EPS of</w:t>
      </w:r>
      <w:r>
        <w:t xml:space="preserve"> </w:t>
      </w:r>
      <m:oMath>
        <m:r>
          <m:t>8.00</m:t>
        </m:r>
        <m:r>
          <m:rPr>
            <m:sty m:val="p"/>
          </m:rPr>
          <m:t>−</m:t>
        </m:r>
      </m:oMath>
      <w:r>
        <w:rPr>
          <w:b/>
          <w:bCs/>
        </w:rPr>
        <w:t xml:space="preserve">8.30</w:t>
      </w:r>
      <w:r>
        <w:t xml:space="preserve">, adjusted operating margin of ~34% reaffirmed for adjusted and organic revenue growth of 1%-3% and adjusted EPS of</w:t>
      </w:r>
      <w:r>
        <w:t xml:space="preserve"> </w:t>
      </w:r>
      <m:oMath>
        <m:r>
          <m:t>8.00</m:t>
        </m:r>
        <m:r>
          <m:rPr>
            <m:sty m:val="p"/>
          </m:rPr>
          <m:t>−</m:t>
        </m:r>
      </m:oMath>
      <w:r>
        <w:t xml:space="preserve">8.30 — this was true both at the Q1 print and again when the CEO transition was announced in June, when the company reaffirmed the outlook for the full year 2026 that it provided on May 5, calling for organic revenue growth of 1% to 3% and adjusted EPS of $8 to $8.30.</w:t>
      </w:r>
    </w:p>
    <w:p>
      <w:pPr>
        <w:pStyle w:val="Compact"/>
        <w:numPr>
          <w:ilvl w:val="0"/>
          <w:numId w:val="1001"/>
        </w:numPr>
      </w:pPr>
      <w:r>
        <w:rPr>
          <w:b/>
          <w:bCs/>
        </w:rPr>
        <w:t xml:space="preserve">Q1 2026 (actual):</w:t>
      </w:r>
      <w:r>
        <w:t xml:space="preserve"> </w:t>
      </w:r>
      <w:r>
        <w:t xml:space="preserve">adjusted revenue of $4.68 billion, down 2.4% YoY; organic revenue down 3.6%; adjusted operating margin 29.7% (vs. 37.8% a year ago); adjusted EPS of $1.79, boosted by a one-time 17-cent tax benefit. Management explicitly called</w:t>
      </w:r>
      <w:r>
        <w:t xml:space="preserve"> </w:t>
      </w:r>
      <w:r>
        <w:rPr>
          <w:b/>
          <w:bCs/>
        </w:rPr>
        <w:t xml:space="preserve">Q2 the trough</w:t>
      </w:r>
      <w:r>
        <w:t xml:space="preserve"> </w:t>
      </w:r>
      <w:r>
        <w:t xml:space="preserve">for year-over-year revenue decline, with Financial Solutions expected to decline "at the high end of mid-single digits" in the quarter before comps ease in H2.</w:t>
      </w:r>
    </w:p>
    <w:p>
      <w:pPr>
        <w:pStyle w:val="Compact"/>
        <w:numPr>
          <w:ilvl w:val="0"/>
          <w:numId w:val="1001"/>
        </w:numPr>
      </w:pPr>
      <w:r>
        <w:rPr>
          <w:b/>
          <w:bCs/>
        </w:rPr>
        <w:t xml:space="preserve">Segment detail:</w:t>
      </w:r>
      <w:r>
        <w:t xml:space="preserve"> </w:t>
      </w:r>
      <w:r>
        <w:t xml:space="preserve">Merchant Solutions — Clover revenue growth guided to</w:t>
      </w:r>
      <w:r>
        <w:t xml:space="preserve"> </w:t>
      </w:r>
      <w:r>
        <w:rPr>
          <w:b/>
          <w:bCs/>
        </w:rPr>
        <w:t xml:space="preserve">low double digits for 2026</w:t>
      </w:r>
      <w:r>
        <w:t xml:space="preserve">, GPV growth of</w:t>
      </w:r>
      <w:r>
        <w:t xml:space="preserve"> </w:t>
      </w:r>
      <w:r>
        <w:rPr>
          <w:b/>
          <w:bCs/>
        </w:rPr>
        <w:t xml:space="preserve">10-15% ex-gateway conversion</w:t>
      </w:r>
      <w:r>
        <w:t xml:space="preserve">; non-Clover SMB expected to turn to slight growth for the year. Financial Solutions — guided</w:t>
      </w:r>
      <w:r>
        <w:t xml:space="preserve"> </w:t>
      </w:r>
      <w:r>
        <w:rPr>
          <w:b/>
          <w:bCs/>
        </w:rPr>
        <w:t xml:space="preserve">flat to slightly down</w:t>
      </w:r>
      <w:r>
        <w:t xml:space="preserve"> </w:t>
      </w:r>
      <w:r>
        <w:t xml:space="preserve">for 2026, weighed down by elevated core-account attrition, though management says client-service KPIs (time-to-resolve down 27% YoY, high-impact incidents down ~60% YoY) are improving even if not yet visible in reported revenue.</w:t>
      </w:r>
    </w:p>
    <w:p>
      <w:pPr>
        <w:pStyle w:val="Compact"/>
        <w:numPr>
          <w:ilvl w:val="0"/>
          <w:numId w:val="1001"/>
        </w:numPr>
      </w:pPr>
      <w:r>
        <w:rPr>
          <w:b/>
          <w:bCs/>
        </w:rPr>
        <w:t xml:space="preserve">Medium-term (2027-2029), set at the May 14 Investor Day:</w:t>
      </w:r>
      <w:r>
        <w:t xml:space="preserve"> </w:t>
      </w:r>
      <w:r>
        <w:t xml:space="preserve">adjusted revenue CAGR of</w:t>
      </w:r>
      <w:r>
        <w:t xml:space="preserve"> </w:t>
      </w:r>
      <w:r>
        <w:rPr>
          <w:b/>
          <w:bCs/>
        </w:rPr>
        <w:t xml:space="preserve">4%-6%</w:t>
      </w:r>
      <w:r>
        <w:t xml:space="preserve">, adjusted operating margin</w:t>
      </w:r>
      <w:r>
        <w:t xml:space="preserve"> </w:t>
      </w:r>
      <w:r>
        <w:rPr>
          <w:b/>
          <w:bCs/>
        </w:rPr>
        <w:t xml:space="preserve">above 37% by 2029</w:t>
      </w:r>
      <w:r>
        <w:t xml:space="preserve">, adjusted EPS</w:t>
      </w:r>
      <w:r>
        <w:t xml:space="preserve"> </w:t>
      </w:r>
      <w:r>
        <w:rPr>
          <w:b/>
          <w:bCs/>
        </w:rPr>
        <w:t xml:space="preserve">above $12.00 by 2029</w:t>
      </w:r>
      <w:r>
        <w:t xml:space="preserve">, with baseline operating leverage contributing roughly 150bps of margin expansion over three years, while Project Elevate is expected to add more than 200bps by 2029 through net cost reductions, and Clover targeted for</w:t>
      </w:r>
      <w:r>
        <w:t xml:space="preserve"> </w:t>
      </w:r>
      <w:r>
        <w:rPr>
          <w:b/>
          <w:bCs/>
        </w:rPr>
        <w:t xml:space="preserve">15%-20% annual growth</w:t>
      </w:r>
      <w:r>
        <w:t xml:space="preserve">.</w:t>
      </w:r>
    </w:p>
    <w:bookmarkEnd w:id="10"/>
    <w:bookmarkStart w:id="11" w:name="what-to-watch-on-the-print"/>
    <w:p>
      <w:pPr>
        <w:pStyle w:val="Heading2"/>
      </w:pPr>
      <w:r>
        <w:t xml:space="preserve">What to watch on the print</w:t>
      </w:r>
    </w:p>
    <w:p>
      <w:pPr>
        <w:pStyle w:val="Compact"/>
        <w:numPr>
          <w:ilvl w:val="0"/>
          <w:numId w:val="1002"/>
        </w:numPr>
      </w:pPr>
      <w:r>
        <w:rPr>
          <w:b/>
          <w:bCs/>
        </w:rPr>
        <w:t xml:space="preserve">Is Q2 really the trough?</w:t>
      </w:r>
      <w:r>
        <w:t xml:space="preserve"> </w:t>
      </w:r>
      <w:r>
        <w:t xml:space="preserve">This is the single most important question. Consensus sees revenue of roughly</w:t>
      </w:r>
      <w:r>
        <w:t xml:space="preserve"> </w:t>
      </w:r>
      <m:oMath>
        <m:r>
          <m:t>5.1</m:t>
        </m:r>
        <m:r>
          <m:t>b</m:t>
        </m:r>
        <m:r>
          <m:t>i</m:t>
        </m:r>
        <m:r>
          <m:t>l</m:t>
        </m:r>
        <m:r>
          <m:t>l</m:t>
        </m:r>
        <m:r>
          <m:t>i</m:t>
        </m:r>
        <m:r>
          <m:t>o</m:t>
        </m:r>
        <m:r>
          <m:t>n</m:t>
        </m:r>
        <m:r>
          <m:rPr>
            <m:sty m:val="p"/>
          </m:rPr>
          <m:t>(</m:t>
        </m:r>
        <m:r>
          <m:t>d</m:t>
        </m:r>
        <m:r>
          <m:t>o</m:t>
        </m:r>
        <m:r>
          <m:t>w</m:t>
        </m:r>
        <m:r>
          <m:t>n</m:t>
        </m:r>
        <m:r>
          <m:t> </m:t>
        </m:r>
        <m:r>
          <m:t>2.8</m:t>
        </m:r>
      </m:oMath>
      <w:r>
        <w:t xml:space="preserve">1.89-$1.91** range, down over 20% YoY. Zacks currently carries a Sell rank (4) and a slightly negative Earnings ESP (-0.20%), reflecting muted conviction in a beat, even though FISV has outpaced the Zacks Consensus Estimate in three of the trailing four quarters.</w:t>
      </w:r>
    </w:p>
    <w:p>
      <w:pPr>
        <w:pStyle w:val="Compact"/>
        <w:numPr>
          <w:ilvl w:val="0"/>
          <w:numId w:val="1002"/>
        </w:numPr>
      </w:pPr>
      <w:r>
        <w:rPr>
          <w:b/>
          <w:bCs/>
        </w:rPr>
        <w:t xml:space="preserve">Financial Solutions attrition trend.</w:t>
      </w:r>
      <w:r>
        <w:t xml:space="preserve"> </w:t>
      </w:r>
      <w:r>
        <w:t xml:space="preserve">Core bank attrition has been the crux of the 2025 unraveling; investors want proof the client-service investments are translating into stabilized (not just improving) retention.</w:t>
      </w:r>
    </w:p>
    <w:p>
      <w:pPr>
        <w:pStyle w:val="Compact"/>
        <w:numPr>
          <w:ilvl w:val="0"/>
          <w:numId w:val="1002"/>
        </w:numPr>
      </w:pPr>
      <w:r>
        <w:rPr>
          <w:b/>
          <w:bCs/>
        </w:rPr>
        <w:t xml:space="preserve">Clover trajectory</w:t>
      </w:r>
      <w:r>
        <w:t xml:space="preserve"> </w:t>
      </w:r>
      <w:r>
        <w:t xml:space="preserve">— payment-processing growth in line with GPV, value-added services penetration (27% of Clover revenue, +18% YoY in Q1), and early read on new verticals (healthcare/Practice Pay, professional services) and international expansion (Brazil, Canada/TD).</w:t>
      </w:r>
    </w:p>
    <w:p>
      <w:pPr>
        <w:pStyle w:val="Compact"/>
        <w:numPr>
          <w:ilvl w:val="0"/>
          <w:numId w:val="1002"/>
        </w:numPr>
      </w:pPr>
      <w:r>
        <w:rPr>
          <w:b/>
          <w:bCs/>
        </w:rPr>
        <w:t xml:space="preserve">Margin cadence</w:t>
      </w:r>
      <w:r>
        <w:t xml:space="preserve"> </w:t>
      </w:r>
      <w:r>
        <w:t xml:space="preserve">— guidance calls for H1 margin of ~31-32% stepping up to 35-36% in H2 with Q4 the high point; any slippage here would raise doubts about the 2029 37%+ target.</w:t>
      </w:r>
    </w:p>
    <w:p>
      <w:pPr>
        <w:pStyle w:val="Compact"/>
        <w:numPr>
          <w:ilvl w:val="0"/>
          <w:numId w:val="1002"/>
        </w:numPr>
      </w:pPr>
      <w:r>
        <w:rPr>
          <w:b/>
          <w:bCs/>
        </w:rPr>
        <w:t xml:space="preserve">Capital returns and leverage</w:t>
      </w:r>
      <w:r>
        <w:t xml:space="preserve"> </w:t>
      </w:r>
      <w:r>
        <w:t xml:space="preserve">— Fiserv ended Q1 with gross leverage below 3.2x, targeting ~3x by year-end and 2.5-3x longer term; watch buyback pace (3.3 million shares/$200 million in Q1) and progress on the June refinancing of up to $2.75 billion of senior notes into lower-cost euro debt.</w:t>
      </w:r>
    </w:p>
    <w:p>
      <w:pPr>
        <w:pStyle w:val="Compact"/>
        <w:numPr>
          <w:ilvl w:val="0"/>
          <w:numId w:val="1002"/>
        </w:numPr>
      </w:pPr>
      <w:r>
        <w:rPr>
          <w:b/>
          <w:bCs/>
        </w:rPr>
        <w:t xml:space="preserve">Debit network (STAR/Accel) sale process.</w:t>
      </w:r>
      <w:r>
        <w:t xml:space="preserve"> </w:t>
      </w:r>
      <w:r>
        <w:t xml:space="preserve">Reports indicate JPMorgan Chase, Bank of America, Wells Fargo, and PNC Financial are in preliminary discussions to acquire Fiserv's STAR debit payments network, infrastructure valued at roughly $15 billion that processes around 3 billion transactions annually. Any update, formal process announcement, or commentary on use of proceeds could move the stock more than the quarterly numbers themselves — shares have popped 4-7% on prior headlines. Note there is no indication any transaction is imminent, and some banks have already signaled advancing the idea is unlikely amid regulatory sensitivity around Durbin Amendment fee caps.</w:t>
      </w:r>
    </w:p>
    <w:p>
      <w:pPr>
        <w:pStyle w:val="Compact"/>
        <w:numPr>
          <w:ilvl w:val="0"/>
          <w:numId w:val="1002"/>
        </w:numPr>
      </w:pPr>
      <w:r>
        <w:rPr>
          <w:b/>
          <w:bCs/>
        </w:rPr>
        <w:t xml:space="preserve">Response to Jana Partners.</w:t>
      </w:r>
      <w:r>
        <w:t xml:space="preserve"> </w:t>
      </w:r>
      <w:r>
        <w:t xml:space="preserve">New CEO Georgakopoulos will likely face direct questions on whether Fiserv will broaden the debit-network process into the "comprehensive portfolio review" Jana is demanding, and whether further board refresh is coming — Jana noted the board has already appointed six new independent directors since 2024, three joining January 1, 2026, but Jana wants more.</w:t>
      </w:r>
    </w:p>
    <w:bookmarkEnd w:id="11"/>
    <w:bookmarkStart w:id="12" w:name="street-positioning"/>
    <w:p>
      <w:pPr>
        <w:pStyle w:val="Heading2"/>
      </w:pPr>
      <w:r>
        <w:t xml:space="preserve">Street positioning</w:t>
      </w:r>
    </w:p>
    <w:p>
      <w:pPr>
        <w:pStyle w:val="FirstParagraph"/>
      </w:pPr>
      <w:r>
        <w:t xml:space="preserve">Sentiment is uniformly cautious. A wave of price-target cuts has hit the stock ahead of the print: JPMorgan to $62 (from $75), Goldman Sachs to $60 (from $70), Wells Fargo to $56 (from $62), Citigroup to $57 (from $60), Truist to $52 (from $58), BMO to $55, Cantor Fitzgerald to $53, TD Cowen to $63 — nearly all paired with Neutral/Hold/Equal-weight ratings rather than outright bearish calls. Wells Fargo's framing captures the mood: it cut its price target while maintaining an Equal Weight rating, saying it believes the company's second-quarter estimates are achievable, but does not expect the earnings report to provide a boost to the stock, with investors remaining focused on the steep expected growth in the second half of the year and the sudden CEO change. On a modestly encouraging note, new CFO Paul Todd purchased 10,060 shares in June at an average price of $49.70, a $500,000 transaction, bringing his stake to 184,107 shares — a signal of insider confidence near current levels.</w:t>
      </w:r>
    </w:p>
    <w:bookmarkEnd w:id="12"/>
    <w:bookmarkStart w:id="13" w:name="bottom-line-for-investors"/>
    <w:p>
      <w:pPr>
        <w:pStyle w:val="Heading2"/>
      </w:pPr>
      <w:r>
        <w:t xml:space="preserve">Bottom line for investors</w:t>
      </w:r>
    </w:p>
    <w:p>
      <w:pPr>
        <w:pStyle w:val="FirstParagraph"/>
      </w:pPr>
      <w:r>
        <w:t xml:space="preserve">Fiserv heads into Thursday's report as a battered, deep-value/turnaround situation rather than a steady compounder: the stock has fallen from above $260 in early 2025 to roughly $54 today, a decline of nearly 80%, on the back of a historic guidance reset, a securities fraud lawsuit, two CEO changes in 13 months, and now open activist agitation. The bar for the quarter itself looks low and largely "achievable" per sell-side commentary — the real swing factors are (1) whether management's claim that Q2 marks the revenue trough holds up, (2) any incremental disclosure on the STAR/Accel debit-network sale process and Jana's push for a full portfolio review, and (3) new CEO Georgakopoulos's tone on execution of the One Fiserv plan and the credibility of the 2027-2029 targets (mid-single-digit revenue growth, 37%+ margins, $12+ EPS by 2029). A clean quarter with reaffirmed guidance would likely be read as stabilization; any fresh disappointment — on attrition, margins, or M&amp;A clarity — risks reopening the credibility gap that triggered last October's collapse.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2026-08-06T00:08:21Z</dcterms:created>
  <dcterms:modified xsi:type="dcterms:W3CDTF">2026-08-06T00:08:21Z</dcterms:modified>
</cp:coreProperties>
</file>

<file path=docProps/custom.xml><?xml version="1.0" encoding="utf-8"?>
<Properties xmlns="http://schemas.openxmlformats.org/officeDocument/2006/custom-properties" xmlns:vt="http://schemas.openxmlformats.org/officeDocument/2006/docPropsVTypes"/>
</file>