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sv-earnings-predictions--2026-08-06"/>
    <w:p>
      <w:pPr>
        <w:pStyle w:val="Heading1"/>
      </w:pPr>
      <w:r>
        <w:t xml:space="preserve">FISV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~$5.00B vs. cons $4.99B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~$1.98 vs. cons $1.95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~33.2% vs. cons 33.0%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~2.0% midpoint (1%-3%) vs. cons 1.7%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8.15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8.00-$8.30) vs. cons $8.14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~34.0% vs. cons 33.9%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midpoint (6%-8%) vs. cons 6.7%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+3.2% (FADE)</w:t>
            </w:r>
          </w:p>
        </w:tc>
        <w:tc>
          <w:tcPr/>
          <w:p>
            <w:pPr>
              <w:pStyle w:val="Compact"/>
            </w:pPr>
            <w:r>
              <w:t xml:space="preserve">A controlled trough quarter, modest EPS upside and reaffirmed guidance should drive an initial relief rally, but the gain should partially fade because the 2H2026 acceleration remains back-end-loaded and execution-dependent; limited estimate increases beyond 2026 constrain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2026-08-06T00:09:04Z</dcterms:created>
  <dcterms:modified xsi:type="dcterms:W3CDTF">2026-08-06T00:09:04Z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