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fiserv-fisv-2026q2-earnings-preview"/>
    <w:p>
      <w:pPr>
        <w:pStyle w:val="Heading1"/>
      </w:pPr>
      <w:r>
        <w:t xml:space="preserve">Fiserv (FISV) 2026Q2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August 6, 2026, before the U.S. market open</w:t>
      </w:r>
      <w:r>
        <w:br/>
      </w:r>
      <w:r>
        <w:rPr>
          <w:b/>
          <w:bCs/>
        </w:rPr>
        <w:t xml:space="preserve">Call:</w:t>
      </w:r>
      <w:r>
        <w:t xml:space="preserve"> </w:t>
      </w:r>
      <w:r>
        <w:t xml:space="preserve">2026Q2 earnings call</w:t>
      </w:r>
      <w:r>
        <w:br/>
      </w:r>
      <w:r>
        <w:rPr>
          <w:b/>
          <w:bCs/>
        </w:rPr>
        <w:t xml:space="preserve">August 5 close:</w:t>
      </w:r>
      <w:r>
        <w:t xml:space="preserve"> </w:t>
      </w:r>
      <w:r>
        <w:rPr>
          <w:b/>
          <w:bCs/>
        </w:rPr>
        <w:t xml:space="preserve">$54.13</w:t>
      </w:r>
    </w:p>
    <w:bookmarkStart w:id="9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This is less a conventional quarterly earnings report than a</w:t>
      </w:r>
      <w:r>
        <w:t xml:space="preserve"> </w:t>
      </w:r>
      <w:r>
        <w:rPr>
          <w:b/>
          <w:bCs/>
        </w:rPr>
        <w:t xml:space="preserve">credibility test for Fiserv’s turnaround</w:t>
      </w:r>
      <w:r>
        <w:t xml:space="preserve">.</w:t>
      </w:r>
    </w:p>
    <w:p>
      <w:pPr>
        <w:pStyle w:val="BodyText"/>
      </w:pPr>
      <w:r>
        <w:t xml:space="preserve">Management already warned that the second quarter should be the low point for year-over-year revenue growth. Therefore, investors are unlikely to focus solely on whether Q2 results look weak—they should. The more important questions are: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Q2 truly the trough?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Can Fiserv still deliver the sharp second-half acceleration embedded in guidance?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Clover and the underlying transaction franchises healthy despite poor reported growth?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Financial Solutions attrition stabilizing?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the new leadership team still stand behind the May Investor Day plan?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 activist pressure lead to a broader portfolio review, asset sales, or board changes?</w:t>
      </w:r>
    </w:p>
    <w:p>
      <w:pPr>
        <w:pStyle w:val="FirstParagraph"/>
      </w:pPr>
      <w:r>
        <w:t xml:space="preserve">The stock’s collapse means expectations are already depressed. But the burden of proof remains high: investors need evidence that the operating problems are contained and that management’s second-half revenue bridge is real.</w:t>
      </w:r>
    </w:p>
    <w:p>
      <w:r>
        <w:pict>
          <v:rect style="width:0;height:1.5pt" o:hralign="center" o:hrstd="t" o:hr="t"/>
        </w:pict>
      </w:r>
    </w:p>
    <w:bookmarkEnd w:id="9"/>
    <w:bookmarkStart w:id="10" w:name="the-setup-an-intentionally-ugly-quarter"/>
    <w:p>
      <w:pPr>
        <w:pStyle w:val="Heading2"/>
      </w:pPr>
      <w:r>
        <w:t xml:space="preserve">The setup: an intentionally ugly quarter</w:t>
      </w:r>
    </w:p>
    <w:p>
      <w:pPr>
        <w:pStyle w:val="FirstParagraph"/>
      </w:pPr>
      <w:r>
        <w:t xml:space="preserve">Fiserv entered 2026 guiding to: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Organic revenue growth:</w:t>
      </w:r>
      <w:r>
        <w:t xml:space="preserve"> </w:t>
      </w:r>
      <w:r>
        <w:t xml:space="preserve">1%–3%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EPS:</w:t>
      </w:r>
      <w:r>
        <w:t xml:space="preserve"> </w:t>
      </w:r>
      <m:oMath>
        <m:r>
          <m:t>8.00</m:t>
        </m:r>
        <m:r>
          <m:rPr>
            <m:sty m:val="p"/>
          </m:rPr>
          <m:t>–</m:t>
        </m:r>
      </m:oMath>
      <w:r>
        <w:t xml:space="preserve">8.30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operating margin:</w:t>
      </w:r>
      <w:r>
        <w:t xml:space="preserve"> </w:t>
      </w:r>
      <w:r>
        <w:t xml:space="preserve">approximately 34%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Free-cash-flow conversion:</w:t>
      </w:r>
      <w:r>
        <w:t xml:space="preserve"> </w:t>
      </w:r>
      <w:r>
        <w:t xml:space="preserve">approximately 90% of adjusted net income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Year-end gross leverage:</w:t>
      </w:r>
      <w:r>
        <w:t xml:space="preserve"> </w:t>
      </w:r>
      <w:r>
        <w:t xml:space="preserve">approximately 3.0x</w:t>
      </w:r>
    </w:p>
    <w:p>
      <w:pPr>
        <w:pStyle w:val="FirstParagraph"/>
      </w:pPr>
      <w:r>
        <w:t xml:space="preserve">First-quarter results were weak but broadly consistent with that plan: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2026Q1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Result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$4.68B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-810 bps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$259M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Merchant organic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Financial Solutions organic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-6%</w:t>
            </w:r>
          </w:p>
        </w:tc>
      </w:tr>
    </w:tbl>
    <w:p>
      <w:pPr>
        <w:pStyle w:val="BodyText"/>
      </w:pPr>
      <w:r>
        <w:t xml:space="preserve">Management explicitly identified</w:t>
      </w:r>
      <w:r>
        <w:t xml:space="preserve"> </w:t>
      </w:r>
      <w:r>
        <w:rPr>
          <w:b/>
          <w:bCs/>
        </w:rPr>
        <w:t xml:space="preserve">Q2 as the trough in year-over-year revenue growth</w:t>
      </w:r>
      <w:r>
        <w:t xml:space="preserve">, with Financial Solutions expected to decline at the high end of the mid-single-digit range.</w:t>
      </w:r>
    </w:p>
    <w:p>
      <w:pPr>
        <w:pStyle w:val="BodyText"/>
      </w:pPr>
      <w:r>
        <w:t xml:space="preserve">At the May Investor Day, Fiserv said first-half adjusted revenue should decline by a low-single-digit percentage before accelerating to</w:t>
      </w:r>
      <w:r>
        <w:t xml:space="preserve"> </w:t>
      </w:r>
      <w:r>
        <w:rPr>
          <w:b/>
          <w:bCs/>
        </w:rPr>
        <w:t xml:space="preserve">6%–8% growth in the second half</w:t>
      </w:r>
      <w:r>
        <w:t xml:space="preserve">. Based on Q1 and that first-half framework, a reasonable company-guidance-based—not consensus—expectation is: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Q2 adjusted revenue:</w:t>
      </w:r>
      <w:r>
        <w:t xml:space="preserve"> </w:t>
      </w:r>
      <w:r>
        <w:t xml:space="preserve">approximately</w:t>
      </w:r>
      <w:r>
        <w:t xml:space="preserve"> </w:t>
      </w:r>
      <m:oMath>
        <m:r>
          <m:t>4.95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5.05B</w:t>
      </w:r>
      <w:r>
        <w:t xml:space="preserve">, versus $5.20B last year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Q2 adjusted operating margin:</w:t>
      </w:r>
      <w:r>
        <w:t xml:space="preserve"> </w:t>
      </w:r>
      <w:r>
        <w:t xml:space="preserve">roughly</w:t>
      </w:r>
      <w:r>
        <w:t xml:space="preserve"> </w:t>
      </w:r>
      <w:r>
        <w:rPr>
          <w:b/>
          <w:bCs/>
        </w:rPr>
        <w:t xml:space="preserve">32%–34%</w:t>
      </w:r>
      <w:r>
        <w:t xml:space="preserve">, up sequentially from Q1 but well below 39.6% last year</w:t>
      </w:r>
    </w:p>
    <w:p>
      <w:pPr>
        <w:pStyle w:val="FirstParagraph"/>
      </w:pPr>
      <w:r>
        <w:t xml:space="preserve">The exact quarterly EPS figure is less straightforward because Q1 benefited by approximately $0.17 from tax timing, while management expects higher effective tax rates over the remainder of 2026.</w:t>
      </w:r>
    </w:p>
    <w:p>
      <w:r>
        <w:pict>
          <v:rect style="width:0;height:1.5pt" o:hralign="center" o:hrstd="t" o:hr="t"/>
        </w:pict>
      </w:r>
    </w:p>
    <w:bookmarkEnd w:id="10"/>
    <w:bookmarkStart w:id="15" w:name="what-matters-most"/>
    <w:p>
      <w:pPr>
        <w:pStyle w:val="Heading2"/>
      </w:pPr>
      <w:r>
        <w:t xml:space="preserve">What matters most</w:t>
      </w:r>
    </w:p>
    <w:bookmarkStart w:id="11" w:name="Xe4efc5211ab83cdfef6c56dcfbd4d4c5ee0895d"/>
    <w:p>
      <w:pPr>
        <w:pStyle w:val="Heading3"/>
      </w:pPr>
      <w:r>
        <w:t xml:space="preserve">1. The second-half revenue bridge</w:t>
      </w:r>
    </w:p>
    <w:p>
      <w:pPr>
        <w:pStyle w:val="FirstParagraph"/>
      </w:pPr>
      <w:r>
        <w:t xml:space="preserve">The pivotal issue is whether management reaffirms its expectation for</w:t>
      </w:r>
      <w:r>
        <w:t xml:space="preserve"> </w:t>
      </w:r>
      <w:r>
        <w:rPr>
          <w:b/>
          <w:bCs/>
        </w:rPr>
        <w:t xml:space="preserve">6%–8% second-half adjusted revenue growth</w:t>
      </w:r>
      <w:r>
        <w:t xml:space="preserve">.</w:t>
      </w:r>
    </w:p>
    <w:p>
      <w:pPr>
        <w:pStyle w:val="BodyText"/>
      </w:pPr>
      <w:r>
        <w:t xml:space="preserve">At Investor Day, Fiserv attributed the expected acceleration to:</w:t>
      </w:r>
    </w:p>
    <w:p>
      <w:pPr>
        <w:pStyle w:val="Compact"/>
        <w:numPr>
          <w:ilvl w:val="0"/>
          <w:numId w:val="1004"/>
        </w:numPr>
      </w:pPr>
      <w:r>
        <w:t xml:space="preserve">Normalization of difficult nonrecurring revenue comparisons</w:t>
      </w:r>
    </w:p>
    <w:p>
      <w:pPr>
        <w:pStyle w:val="Compact"/>
        <w:numPr>
          <w:ilvl w:val="0"/>
          <w:numId w:val="1004"/>
        </w:numPr>
      </w:pPr>
      <w:r>
        <w:t xml:space="preserve">Approximately two percentage points from newly contracted revenue</w:t>
      </w:r>
    </w:p>
    <w:p>
      <w:pPr>
        <w:pStyle w:val="Compact"/>
        <w:numPr>
          <w:ilvl w:val="0"/>
          <w:numId w:val="1004"/>
        </w:numPr>
      </w:pPr>
      <w:r>
        <w:t xml:space="preserve">One to two points from planned ramps at large enterprise clients</w:t>
      </w:r>
    </w:p>
    <w:p>
      <w:pPr>
        <w:pStyle w:val="Compact"/>
        <w:numPr>
          <w:ilvl w:val="0"/>
          <w:numId w:val="1004"/>
        </w:numPr>
      </w:pPr>
      <w:r>
        <w:t xml:space="preserve">Approximately two points from products including Cash Flow Central, Experience Digital, Clover Capital, Clover Savings, and international Clover expansion</w:t>
      </w:r>
    </w:p>
    <w:p>
      <w:pPr>
        <w:pStyle w:val="FirstParagraph"/>
      </w:pPr>
      <w:r>
        <w:t xml:space="preserve">That is an unusually large step-up from first-half contraction. Investors should listen for:</w:t>
      </w:r>
    </w:p>
    <w:p>
      <w:pPr>
        <w:pStyle w:val="Compact"/>
        <w:numPr>
          <w:ilvl w:val="0"/>
          <w:numId w:val="1005"/>
        </w:numPr>
      </w:pPr>
      <w:r>
        <w:t xml:space="preserve">Whether contracted implementations began on schedule</w:t>
      </w:r>
    </w:p>
    <w:p>
      <w:pPr>
        <w:pStyle w:val="Compact"/>
        <w:numPr>
          <w:ilvl w:val="0"/>
          <w:numId w:val="1005"/>
        </w:numPr>
      </w:pPr>
      <w:r>
        <w:t xml:space="preserve">Whether the expected enterprise ramps remain intact</w:t>
      </w:r>
    </w:p>
    <w:p>
      <w:pPr>
        <w:pStyle w:val="Compact"/>
        <w:numPr>
          <w:ilvl w:val="0"/>
          <w:numId w:val="1005"/>
        </w:numPr>
      </w:pPr>
      <w:r>
        <w:t xml:space="preserve">How much second-half revenue is contractual versus execution-dependent</w:t>
      </w:r>
    </w:p>
    <w:p>
      <w:pPr>
        <w:pStyle w:val="Compact"/>
        <w:numPr>
          <w:ilvl w:val="0"/>
          <w:numId w:val="1005"/>
        </w:numPr>
      </w:pPr>
      <w:r>
        <w:t xml:space="preserve">Whether leadership changes delayed product launches or implementations</w:t>
      </w:r>
    </w:p>
    <w:p>
      <w:pPr>
        <w:pStyle w:val="Compact"/>
        <w:numPr>
          <w:ilvl w:val="0"/>
          <w:numId w:val="1005"/>
        </w:numPr>
      </w:pPr>
      <w:r>
        <w:t xml:space="preserve">Any softening in the “stable macro” assumption</w:t>
      </w:r>
    </w:p>
    <w:p>
      <w:pPr>
        <w:pStyle w:val="FirstParagraph"/>
      </w:pPr>
      <w:r>
        <w:rPr>
          <w:b/>
          <w:bCs/>
        </w:rPr>
        <w:t xml:space="preserve">The single most important signal tomorrow would be an explicit reaffirmation of both full-year guidance and the 6%–8% second-half growth framework.</w:t>
      </w:r>
      <w:r>
        <w:t xml:space="preserve"> </w:t>
      </w:r>
      <w:r>
        <w:t xml:space="preserve">Maintaining the annual guide without discussing the quarterly bridge would be less convincing.</w:t>
      </w:r>
    </w:p>
    <w:p>
      <w:r>
        <w:pict>
          <v:rect style="width:0;height:1.5pt" o:hralign="center" o:hrstd="t" o:hr="t"/>
        </w:pict>
      </w:r>
    </w:p>
    <w:bookmarkEnd w:id="11"/>
    <w:bookmarkStart w:id="12" w:name="X3cfaffb85bde1da8df513db1ebb9f07cda88bed"/>
    <w:p>
      <w:pPr>
        <w:pStyle w:val="Heading3"/>
      </w:pPr>
      <w:r>
        <w:t xml:space="preserve">2. Clover’s underlying health</w:t>
      </w:r>
    </w:p>
    <w:p>
      <w:pPr>
        <w:pStyle w:val="FirstParagraph"/>
      </w:pPr>
      <w:r>
        <w:t xml:space="preserve">Clover remains the most valuable organic growth asset in the portfolio and is central to the medium-term Merchant Solutions target.</w:t>
      </w:r>
    </w:p>
    <w:p>
      <w:pPr>
        <w:pStyle w:val="BodyText"/>
      </w:pPr>
      <w:r>
        <w:t xml:space="preserve">In Q1:</w:t>
      </w:r>
    </w:p>
    <w:p>
      <w:pPr>
        <w:pStyle w:val="Compact"/>
        <w:numPr>
          <w:ilvl w:val="0"/>
          <w:numId w:val="1006"/>
        </w:numPr>
      </w:pPr>
      <w:r>
        <w:t xml:space="preserve">Reported Clover payment volume grew more than 9%</w:t>
      </w:r>
    </w:p>
    <w:p>
      <w:pPr>
        <w:pStyle w:val="Compact"/>
        <w:numPr>
          <w:ilvl w:val="0"/>
          <w:numId w:val="1006"/>
        </w:numPr>
      </w:pPr>
      <w:r>
        <w:t xml:space="preserve">Volume excluding a gateway conversion grew 12%</w:t>
      </w:r>
    </w:p>
    <w:p>
      <w:pPr>
        <w:pStyle w:val="Compact"/>
        <w:numPr>
          <w:ilvl w:val="0"/>
          <w:numId w:val="1006"/>
        </w:numPr>
      </w:pPr>
      <w:r>
        <w:t xml:space="preserve">Clover revenue grew 6%</w:t>
      </w:r>
    </w:p>
    <w:p>
      <w:pPr>
        <w:pStyle w:val="Compact"/>
        <w:numPr>
          <w:ilvl w:val="0"/>
          <w:numId w:val="1006"/>
        </w:numPr>
      </w:pPr>
      <w:r>
        <w:t xml:space="preserve">Revenue would have grown in the mid-teens excluding unusually high nonrecurring revenue in the prior-year period</w:t>
      </w:r>
    </w:p>
    <w:p>
      <w:pPr>
        <w:pStyle w:val="Compact"/>
        <w:numPr>
          <w:ilvl w:val="0"/>
          <w:numId w:val="1006"/>
        </w:numPr>
      </w:pPr>
      <w:r>
        <w:t xml:space="preserve">Value-added-services revenue grew 18% and reached 27% of Clover revenue</w:t>
      </w:r>
    </w:p>
    <w:p>
      <w:pPr>
        <w:pStyle w:val="FirstParagraph"/>
      </w:pPr>
      <w:r>
        <w:t xml:space="preserve">Management said Q2 would represent the</w:t>
      </w:r>
      <w:r>
        <w:t xml:space="preserve"> </w:t>
      </w:r>
      <w:r>
        <w:rPr>
          <w:b/>
          <w:bCs/>
        </w:rPr>
        <w:t xml:space="preserve">peak of Clover’s nonrecurring comparison headwind</w:t>
      </w:r>
      <w:r>
        <w:t xml:space="preserve">, while retaining full-year expectations of: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Clover revenue growth:</w:t>
      </w:r>
      <w:r>
        <w:t xml:space="preserve"> </w:t>
      </w:r>
      <w:r>
        <w:t xml:space="preserve">low double digits in 2026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Clover volume growth:</w:t>
      </w:r>
      <w:r>
        <w:t xml:space="preserve"> </w:t>
      </w:r>
      <w:r>
        <w:t xml:space="preserve">10%–15%, excluding the gateway conversion</w:t>
      </w:r>
    </w:p>
    <w:p>
      <w:pPr>
        <w:pStyle w:val="FirstParagraph"/>
      </w:pPr>
      <w:r>
        <w:t xml:space="preserve">Key Q2 metrics include:</w:t>
      </w:r>
    </w:p>
    <w:p>
      <w:pPr>
        <w:pStyle w:val="Compact"/>
        <w:numPr>
          <w:ilvl w:val="0"/>
          <w:numId w:val="1008"/>
        </w:numPr>
      </w:pPr>
      <w:r>
        <w:t xml:space="preserve">Reported and gateway-adjusted Clover volume</w:t>
      </w:r>
    </w:p>
    <w:p>
      <w:pPr>
        <w:pStyle w:val="Compact"/>
        <w:numPr>
          <w:ilvl w:val="0"/>
          <w:numId w:val="1008"/>
        </w:numPr>
      </w:pPr>
      <w:r>
        <w:t xml:space="preserve">Processing revenue relative to payment volume</w:t>
      </w:r>
    </w:p>
    <w:p>
      <w:pPr>
        <w:pStyle w:val="Compact"/>
        <w:numPr>
          <w:ilvl w:val="0"/>
          <w:numId w:val="1008"/>
        </w:numPr>
      </w:pPr>
      <w:r>
        <w:t xml:space="preserve">Value-added-services penetration</w:t>
      </w:r>
    </w:p>
    <w:p>
      <w:pPr>
        <w:pStyle w:val="Compact"/>
        <w:numPr>
          <w:ilvl w:val="0"/>
          <w:numId w:val="1008"/>
        </w:numPr>
      </w:pPr>
      <w:r>
        <w:t xml:space="preserve">Clover Capital growth and credit performance</w:t>
      </w:r>
    </w:p>
    <w:p>
      <w:pPr>
        <w:pStyle w:val="Compact"/>
        <w:numPr>
          <w:ilvl w:val="0"/>
          <w:numId w:val="1008"/>
        </w:numPr>
      </w:pPr>
      <w:r>
        <w:t xml:space="preserve">Early adoption of Clover Savings</w:t>
      </w:r>
    </w:p>
    <w:p>
      <w:pPr>
        <w:pStyle w:val="Compact"/>
        <w:numPr>
          <w:ilvl w:val="0"/>
          <w:numId w:val="1008"/>
        </w:numPr>
      </w:pPr>
      <w:r>
        <w:t xml:space="preserve">International outlet growth, particularly Brazil and Canada</w:t>
      </w:r>
    </w:p>
    <w:p>
      <w:pPr>
        <w:pStyle w:val="Compact"/>
        <w:numPr>
          <w:ilvl w:val="0"/>
          <w:numId w:val="1008"/>
        </w:numPr>
      </w:pPr>
      <w:r>
        <w:t xml:space="preserve">Merchant attrition and service improvements</w:t>
      </w:r>
    </w:p>
    <w:p>
      <w:pPr>
        <w:pStyle w:val="Compact"/>
        <w:numPr>
          <w:ilvl w:val="0"/>
          <w:numId w:val="1008"/>
        </w:numPr>
      </w:pPr>
      <w:r>
        <w:t xml:space="preserve">Progress converting the $4 billion non-Clover SMB revenue base</w:t>
      </w:r>
    </w:p>
    <w:p>
      <w:pPr>
        <w:pStyle w:val="FirstParagraph"/>
      </w:pPr>
      <w:r>
        <w:t xml:space="preserve">A weak headline Clover revenue number can be tolerated if volume, recurring processing, software, and lending trends remain healthy. A slowdown in underlying payment volume would be much more concerning.</w:t>
      </w:r>
    </w:p>
    <w:p>
      <w:r>
        <w:pict>
          <v:rect style="width:0;height:1.5pt" o:hralign="center" o:hrstd="t" o:hr="t"/>
        </w:pict>
      </w:r>
    </w:p>
    <w:bookmarkEnd w:id="12"/>
    <w:bookmarkStart w:id="13" w:name="Xd3202bed7d7e848af756c5cfd676e200785e76e"/>
    <w:p>
      <w:pPr>
        <w:pStyle w:val="Heading3"/>
      </w:pPr>
      <w:r>
        <w:t xml:space="preserve">3. Financial Solutions: attrition versus difficult comparisons</w:t>
      </w:r>
    </w:p>
    <w:p>
      <w:pPr>
        <w:pStyle w:val="FirstParagraph"/>
      </w:pPr>
      <w:r>
        <w:t xml:space="preserve">Financial Solutions is expected to be the weakest segment again, with management previously forecasting a Q2 adjusted-revenue decline at the high end of the mid-single-digit range.</w:t>
      </w:r>
    </w:p>
    <w:p>
      <w:pPr>
        <w:pStyle w:val="BodyText"/>
      </w:pPr>
      <w:r>
        <w:t xml:space="preserve">Part of that decline reflects unusually high prior-year nonrecurring revenue, especially in issuing and output solutions. But the segment also faces genuine operating problems:</w:t>
      </w:r>
    </w:p>
    <w:p>
      <w:pPr>
        <w:pStyle w:val="Compact"/>
        <w:numPr>
          <w:ilvl w:val="0"/>
          <w:numId w:val="1009"/>
        </w:numPr>
      </w:pPr>
      <w:r>
        <w:t xml:space="preserve">Core banking client attrition remains above historical levels</w:t>
      </w:r>
    </w:p>
    <w:p>
      <w:pPr>
        <w:pStyle w:val="Compact"/>
        <w:numPr>
          <w:ilvl w:val="0"/>
          <w:numId w:val="1009"/>
        </w:numPr>
      </w:pPr>
      <w:r>
        <w:t xml:space="preserve">Core counts declined 2% in Q1</w:t>
      </w:r>
    </w:p>
    <w:p>
      <w:pPr>
        <w:pStyle w:val="Compact"/>
        <w:numPr>
          <w:ilvl w:val="0"/>
          <w:numId w:val="1009"/>
        </w:numPr>
      </w:pPr>
      <w:r>
        <w:t xml:space="preserve">Bill-pay transactions fell by a high-single-digit percentage</w:t>
      </w:r>
    </w:p>
    <w:p>
      <w:pPr>
        <w:pStyle w:val="Compact"/>
        <w:numPr>
          <w:ilvl w:val="0"/>
          <w:numId w:val="1009"/>
        </w:numPr>
      </w:pPr>
      <w:r>
        <w:t xml:space="preserve">Prior service and implementation issues have damaged retention</w:t>
      </w:r>
    </w:p>
    <w:p>
      <w:pPr>
        <w:pStyle w:val="Compact"/>
        <w:numPr>
          <w:ilvl w:val="0"/>
          <w:numId w:val="1009"/>
        </w:numPr>
      </w:pPr>
      <w:r>
        <w:t xml:space="preserve">Fiserv is investing heavily in support, technology resilience, and product delivery</w:t>
      </w:r>
    </w:p>
    <w:p>
      <w:pPr>
        <w:pStyle w:val="FirstParagraph"/>
      </w:pPr>
      <w:r>
        <w:t xml:space="preserve">At Investor Day, management quantified core revenue attrition at approximately</w:t>
      </w:r>
      <w:r>
        <w:t xml:space="preserve"> </w:t>
      </w:r>
      <w:r>
        <w:rPr>
          <w:b/>
          <w:bCs/>
        </w:rPr>
        <w:t xml:space="preserve">150 basis points of Financial Solutions revenue</w:t>
      </w:r>
      <w:r>
        <w:t xml:space="preserve">, versus a historical level near 75 basis points. The medium-term plan assumes no material improvement during 2026, followed by gradual normalization through 2029.</w:t>
      </w:r>
    </w:p>
    <w:p>
      <w:pPr>
        <w:pStyle w:val="BodyText"/>
      </w:pPr>
      <w:r>
        <w:t xml:space="preserve">Investors should prioritize:</w:t>
      </w:r>
    </w:p>
    <w:p>
      <w:pPr>
        <w:pStyle w:val="Compact"/>
        <w:numPr>
          <w:ilvl w:val="0"/>
          <w:numId w:val="1010"/>
        </w:numPr>
      </w:pPr>
      <w:r>
        <w:t xml:space="preserve">Core count and core revenue attrition</w:t>
      </w:r>
    </w:p>
    <w:p>
      <w:pPr>
        <w:pStyle w:val="Compact"/>
        <w:numPr>
          <w:ilvl w:val="0"/>
          <w:numId w:val="1010"/>
        </w:numPr>
      </w:pPr>
      <w:r>
        <w:t xml:space="preserve">Account growth, including Finxact</w:t>
      </w:r>
    </w:p>
    <w:p>
      <w:pPr>
        <w:pStyle w:val="Compact"/>
        <w:numPr>
          <w:ilvl w:val="0"/>
          <w:numId w:val="1010"/>
        </w:numPr>
      </w:pPr>
      <w:r>
        <w:t xml:space="preserve">Debit processing and debit-network volumes</w:t>
      </w:r>
    </w:p>
    <w:p>
      <w:pPr>
        <w:pStyle w:val="Compact"/>
        <w:numPr>
          <w:ilvl w:val="0"/>
          <w:numId w:val="1010"/>
        </w:numPr>
      </w:pPr>
      <w:r>
        <w:t xml:space="preserve">Zelle growth versus bill-pay declines</w:t>
      </w:r>
    </w:p>
    <w:p>
      <w:pPr>
        <w:pStyle w:val="Compact"/>
        <w:numPr>
          <w:ilvl w:val="0"/>
          <w:numId w:val="1010"/>
        </w:numPr>
      </w:pPr>
      <w:r>
        <w:t xml:space="preserve">Implementation progress for Experience Digital and Cash Flow Central</w:t>
      </w:r>
    </w:p>
    <w:p>
      <w:pPr>
        <w:pStyle w:val="Compact"/>
        <w:numPr>
          <w:ilvl w:val="0"/>
          <w:numId w:val="1010"/>
        </w:numPr>
      </w:pPr>
      <w:r>
        <w:t xml:space="preserve">Whether client incidents and resolution times continue improving</w:t>
      </w:r>
    </w:p>
    <w:p>
      <w:pPr>
        <w:pStyle w:val="Compact"/>
        <w:numPr>
          <w:ilvl w:val="0"/>
          <w:numId w:val="1010"/>
        </w:numPr>
      </w:pPr>
      <w:r>
        <w:t xml:space="preserve">The timing of Vision Next revenue</w:t>
      </w:r>
    </w:p>
    <w:p>
      <w:pPr>
        <w:pStyle w:val="FirstParagraph"/>
      </w:pPr>
      <w:r>
        <w:t xml:space="preserve">A high-single-digit segment decline would challenge the turnaround thesis. A result near the previously communicated high-end-of-mid-single-digit decline, accompanied by stable volumes and improving service indicators, would be acceptable.</w:t>
      </w:r>
    </w:p>
    <w:p>
      <w:r>
        <w:pict>
          <v:rect style="width:0;height:1.5pt" o:hralign="center" o:hrstd="t" o:hr="t"/>
        </w:pict>
      </w:r>
    </w:p>
    <w:bookmarkEnd w:id="13"/>
    <w:bookmarkStart w:id="14" w:name="Xc660c22de4d27297b5c3105f62dcdb2ef5134df"/>
    <w:p>
      <w:pPr>
        <w:pStyle w:val="Heading3"/>
      </w:pPr>
      <w:r>
        <w:t xml:space="preserve">4. Margins and cash conversion</w:t>
      </w:r>
    </w:p>
    <w:p>
      <w:pPr>
        <w:pStyle w:val="FirstParagraph"/>
      </w:pPr>
      <w:r>
        <w:t xml:space="preserve">The 2026 margin framework calls for:</w:t>
      </w:r>
    </w:p>
    <w:p>
      <w:pPr>
        <w:pStyle w:val="Compact"/>
        <w:numPr>
          <w:ilvl w:val="0"/>
          <w:numId w:val="1011"/>
        </w:numPr>
      </w:pPr>
      <w:r>
        <w:t xml:space="preserve">First-half adjusted operating margin of 31%–32%</w:t>
      </w:r>
    </w:p>
    <w:p>
      <w:pPr>
        <w:pStyle w:val="Compact"/>
        <w:numPr>
          <w:ilvl w:val="0"/>
          <w:numId w:val="1011"/>
        </w:numPr>
      </w:pPr>
      <w:r>
        <w:t xml:space="preserve">Second-half margin of 35%–36%</w:t>
      </w:r>
    </w:p>
    <w:p>
      <w:pPr>
        <w:pStyle w:val="Compact"/>
        <w:numPr>
          <w:ilvl w:val="0"/>
          <w:numId w:val="1011"/>
        </w:numPr>
      </w:pPr>
      <w:r>
        <w:t xml:space="preserve">Full-year margin of approximately 34%</w:t>
      </w:r>
    </w:p>
    <w:p>
      <w:pPr>
        <w:pStyle w:val="Compact"/>
        <w:numPr>
          <w:ilvl w:val="0"/>
          <w:numId w:val="1011"/>
        </w:numPr>
      </w:pPr>
      <w:r>
        <w:t xml:space="preserve">Q4 as the year’s high point</w:t>
      </w:r>
    </w:p>
    <w:p>
      <w:pPr>
        <w:pStyle w:val="FirstParagraph"/>
      </w:pPr>
      <w:r>
        <w:t xml:space="preserve">Q1 margin was only 29.7%, reflecting higher client-service spending, technology investment, severance, and the broader One Fiserv transformation. Consequently, Q2 needs a meaningful sequential improvement to keep the first-half framework intact.</w:t>
      </w:r>
    </w:p>
    <w:p>
      <w:pPr>
        <w:pStyle w:val="BodyText"/>
      </w:pPr>
      <w:r>
        <w:t xml:space="preserve">Investors should distinguish between: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Planned investment pressure</w:t>
      </w:r>
      <w:r>
        <w:t xml:space="preserve">, which was included in guidance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Operating underperformance</w:t>
      </w:r>
      <w:r>
        <w:t xml:space="preserve">, which could prevent the expected second-half recovery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Transformation charges excluded from adjusted results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Cash costs</w:t>
      </w:r>
      <w:r>
        <w:t xml:space="preserve">, which still affect free cash flow even when excluded from adjusted EPS</w:t>
      </w:r>
    </w:p>
    <w:p>
      <w:pPr>
        <w:pStyle w:val="FirstParagraph"/>
      </w:pPr>
      <w:r>
        <w:t xml:space="preserve">Free cash flow was only $259 million in Q1, although Q1 is seasonally the weakest quarter. Management continues to target approximately 90% conversion for the year. Watch capital expenditures, implementation spending, restructuring payments, and the funding requirements of Clover Capital.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Xa8a28dbe97c607e29055e1c289d80d9809b3620"/>
    <w:p>
      <w:pPr>
        <w:pStyle w:val="Heading2"/>
      </w:pPr>
      <w:r>
        <w:t xml:space="preserve">Leadership and governance may overshadow the quarter</w:t>
      </w:r>
    </w:p>
    <w:p>
      <w:pPr>
        <w:pStyle w:val="FirstParagraph"/>
      </w:pPr>
      <w:r>
        <w:t xml:space="preserve">The leadership backdrop has deteriorated materially since Investor Day:</w:t>
      </w:r>
    </w:p>
    <w:p>
      <w:pPr>
        <w:pStyle w:val="Compact"/>
        <w:numPr>
          <w:ilvl w:val="0"/>
          <w:numId w:val="1013"/>
        </w:numPr>
      </w:pPr>
      <w:r>
        <w:t xml:space="preserve">CEO Mike Lyons resigned effective June 12.</w:t>
      </w:r>
    </w:p>
    <w:p>
      <w:pPr>
        <w:pStyle w:val="Compact"/>
        <w:numPr>
          <w:ilvl w:val="0"/>
          <w:numId w:val="1013"/>
        </w:numPr>
      </w:pPr>
      <w:r>
        <w:t xml:space="preserve">Merchant head Takis Georgakopoulos became CEO on June 14.</w:t>
      </w:r>
    </w:p>
    <w:p>
      <w:pPr>
        <w:pStyle w:val="Compact"/>
        <w:numPr>
          <w:ilvl w:val="0"/>
          <w:numId w:val="1013"/>
        </w:numPr>
      </w:pPr>
      <w:r>
        <w:t xml:space="preserve">President and Financial Solutions leader Dhivya Suryadevara resigned for “good reason” on July 7.</w:t>
      </w:r>
    </w:p>
    <w:p>
      <w:pPr>
        <w:pStyle w:val="Compact"/>
        <w:numPr>
          <w:ilvl w:val="0"/>
          <w:numId w:val="1013"/>
        </w:numPr>
      </w:pPr>
      <w:r>
        <w:t xml:space="preserve">Andrew Gelb and Srini Krish were appointed interim leaders of Financial Solutions.</w:t>
      </w:r>
    </w:p>
    <w:p>
      <w:pPr>
        <w:pStyle w:val="Compact"/>
        <w:numPr>
          <w:ilvl w:val="0"/>
          <w:numId w:val="1013"/>
        </w:numPr>
      </w:pPr>
      <w:r>
        <w:t xml:space="preserve">Jana Partners is pressing for a formal review of the entire portfolio and board refreshment.</w:t>
      </w:r>
    </w:p>
    <w:p>
      <w:pPr>
        <w:pStyle w:val="Compact"/>
        <w:numPr>
          <w:ilvl w:val="0"/>
          <w:numId w:val="1013"/>
        </w:numPr>
      </w:pPr>
      <w:r>
        <w:t xml:space="preserve">Large U.S. banks have reportedly explored a possible acquisition of Fiserv’s debit-network assets.</w:t>
      </w:r>
    </w:p>
    <w:p>
      <w:pPr>
        <w:pStyle w:val="FirstParagraph"/>
      </w:pPr>
      <w:r>
        <w:t xml:space="preserve">This creates several strategic questions:</w:t>
      </w:r>
    </w:p>
    <w:p>
      <w:pPr>
        <w:pStyle w:val="Compact"/>
        <w:numPr>
          <w:ilvl w:val="0"/>
          <w:numId w:val="1014"/>
        </w:numPr>
      </w:pPr>
      <w:r>
        <w:t xml:space="preserve">Does Georgakopoulos fully endorse the May Investor Day targets?</w:t>
      </w:r>
    </w:p>
    <w:p>
      <w:pPr>
        <w:pStyle w:val="Compact"/>
        <w:numPr>
          <w:ilvl w:val="0"/>
          <w:numId w:val="1014"/>
        </w:numPr>
      </w:pPr>
      <w:r>
        <w:t xml:space="preserve">When will Fiserv appoint permanent Financial Solutions leadership?</w:t>
      </w:r>
    </w:p>
    <w:p>
      <w:pPr>
        <w:pStyle w:val="Compact"/>
        <w:numPr>
          <w:ilvl w:val="0"/>
          <w:numId w:val="1014"/>
        </w:numPr>
      </w:pPr>
      <w:r>
        <w:t xml:space="preserve">Has management turnover affected client retention or implementations?</w:t>
      </w:r>
    </w:p>
    <w:p>
      <w:pPr>
        <w:pStyle w:val="Compact"/>
        <w:numPr>
          <w:ilvl w:val="0"/>
          <w:numId w:val="1014"/>
        </w:numPr>
      </w:pPr>
      <w:r>
        <w:t xml:space="preserve">Will the board initiate a comprehensive strategic review?</w:t>
      </w:r>
    </w:p>
    <w:p>
      <w:pPr>
        <w:pStyle w:val="Compact"/>
        <w:numPr>
          <w:ilvl w:val="0"/>
          <w:numId w:val="1014"/>
        </w:numPr>
      </w:pPr>
      <w:r>
        <w:t xml:space="preserve">Is a debit-network sale actively being pursued?</w:t>
      </w:r>
    </w:p>
    <w:p>
      <w:pPr>
        <w:pStyle w:val="Compact"/>
        <w:numPr>
          <w:ilvl w:val="0"/>
          <w:numId w:val="1014"/>
        </w:numPr>
      </w:pPr>
      <w:r>
        <w:t xml:space="preserve">Could more assets follow the ATM and Education Solutions transactions?</w:t>
      </w:r>
    </w:p>
    <w:p>
      <w:pPr>
        <w:pStyle w:val="Compact"/>
        <w:numPr>
          <w:ilvl w:val="0"/>
          <w:numId w:val="1014"/>
        </w:numPr>
      </w:pPr>
      <w:r>
        <w:t xml:space="preserve">Would divestiture proceeds fund deleveraging or accelerated repurchases?</w:t>
      </w:r>
    </w:p>
    <w:p>
      <w:pPr>
        <w:pStyle w:val="FirstParagraph"/>
      </w:pPr>
      <w:r>
        <w:t xml:space="preserve">The market may reward credible portfolio simplification, but it could react negatively if management appears distracted or if strategic actions weaken the earnings base without a clear use of proceeds.</w:t>
      </w:r>
    </w:p>
    <w:p>
      <w:r>
        <w:pict>
          <v:rect style="width:0;height:1.5pt" o:hralign="center" o:hrstd="t" o:hr="t"/>
        </w:pict>
      </w:r>
    </w:p>
    <w:bookmarkEnd w:id="16"/>
    <w:bookmarkStart w:id="17" w:name="capital-allocation"/>
    <w:p>
      <w:pPr>
        <w:pStyle w:val="Heading2"/>
      </w:pPr>
      <w:r>
        <w:t xml:space="preserve">Capital allocation</w:t>
      </w:r>
    </w:p>
    <w:p>
      <w:pPr>
        <w:pStyle w:val="FirstParagraph"/>
      </w:pPr>
      <w:r>
        <w:t xml:space="preserve">Fiserv ended Q1 with gross debt-to-adjusted EBITDA below 3.2x and repurchased only $200 million of stock, a significant slowdown from prior periods. Management wants to lower leverage toward 3.0x by year-end and approximately 2.5x over the medium term.</w:t>
      </w:r>
    </w:p>
    <w:p>
      <w:pPr>
        <w:pStyle w:val="BodyText"/>
      </w:pPr>
      <w:r>
        <w:t xml:space="preserve">Given the stock price, investors and Jana are likely to push for larger repurchases. But tomorrow’s priorities should be:</w:t>
      </w:r>
    </w:p>
    <w:p>
      <w:pPr>
        <w:pStyle w:val="Compact"/>
        <w:numPr>
          <w:ilvl w:val="0"/>
          <w:numId w:val="1015"/>
        </w:numPr>
      </w:pPr>
      <w:r>
        <w:t xml:space="preserve">Protecting the investment-grade balance sheet</w:t>
      </w:r>
    </w:p>
    <w:p>
      <w:pPr>
        <w:pStyle w:val="Compact"/>
        <w:numPr>
          <w:ilvl w:val="0"/>
          <w:numId w:val="1015"/>
        </w:numPr>
      </w:pPr>
      <w:r>
        <w:t xml:space="preserve">Delivering the operating plan</w:t>
      </w:r>
    </w:p>
    <w:p>
      <w:pPr>
        <w:pStyle w:val="Compact"/>
        <w:numPr>
          <w:ilvl w:val="0"/>
          <w:numId w:val="1015"/>
        </w:numPr>
      </w:pPr>
      <w:r>
        <w:t xml:space="preserve">Funding high-return product and service improvements</w:t>
      </w:r>
    </w:p>
    <w:p>
      <w:pPr>
        <w:pStyle w:val="Compact"/>
        <w:numPr>
          <w:ilvl w:val="0"/>
          <w:numId w:val="1015"/>
        </w:numPr>
      </w:pPr>
      <w:r>
        <w:t xml:space="preserve">Selling noncore assets at attractive valuations</w:t>
      </w:r>
    </w:p>
    <w:p>
      <w:pPr>
        <w:pStyle w:val="Compact"/>
        <w:numPr>
          <w:ilvl w:val="0"/>
          <w:numId w:val="1015"/>
        </w:numPr>
      </w:pPr>
      <w:r>
        <w:t xml:space="preserve">Increasing buybacks only when leverage permits</w:t>
      </w:r>
    </w:p>
    <w:p>
      <w:pPr>
        <w:pStyle w:val="FirstParagraph"/>
      </w:pPr>
      <w:r>
        <w:t xml:space="preserve">An aggressive buyback announcement would support sentiment, but it would not substitute for evidence that revenue and client retention are stabilizing.</w:t>
      </w:r>
    </w:p>
    <w:p>
      <w:r>
        <w:pict>
          <v:rect style="width:0;height:1.5pt" o:hralign="center" o:hrstd="t" o:hr="t"/>
        </w:pict>
      </w:r>
    </w:p>
    <w:bookmarkEnd w:id="17"/>
    <w:bookmarkStart w:id="18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Fiserv closed August 5 at $54.13:</w:t>
      </w:r>
    </w:p>
    <w:p>
      <w:pPr>
        <w:pStyle w:val="Compact"/>
        <w:numPr>
          <w:ilvl w:val="0"/>
          <w:numId w:val="101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57% below</w:t>
      </w:r>
      <w:r>
        <w:t xml:space="preserve"> </w:t>
      </w:r>
      <w:r>
        <w:t xml:space="preserve">its October 28, 2025 close, immediately before the historic earnings collapse</w:t>
      </w:r>
    </w:p>
    <w:p>
      <w:pPr>
        <w:pStyle w:val="Compact"/>
        <w:numPr>
          <w:ilvl w:val="0"/>
          <w:numId w:val="101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14% below</w:t>
      </w:r>
      <w:r>
        <w:t xml:space="preserve"> </w:t>
      </w:r>
      <w:r>
        <w:t xml:space="preserve">its May 4 close before Q1 results</w:t>
      </w:r>
    </w:p>
    <w:p>
      <w:pPr>
        <w:pStyle w:val="Compact"/>
        <w:numPr>
          <w:ilvl w:val="0"/>
          <w:numId w:val="1016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13% above</w:t>
      </w:r>
      <w:r>
        <w:t xml:space="preserve"> </w:t>
      </w:r>
      <w:r>
        <w:t xml:space="preserve">the June 15 low following the CEO transition</w:t>
      </w:r>
    </w:p>
    <w:p>
      <w:pPr>
        <w:pStyle w:val="FirstParagraph"/>
      </w:pPr>
      <w:r>
        <w:t xml:space="preserve">This is a favorable setup for a relief rally if management simply delivers the previously outlined trough quarter and reaffirms the second-half ramp. Conversely, the stock can still fall materially if management reduces guidance because the current valuation partly reflects expectations for eventual earnings recovery and potential strategic action.</w:t>
      </w:r>
    </w:p>
    <w:p>
      <w:r>
        <w:pict>
          <v:rect style="width:0;height:1.5pt" o:hralign="center" o:hrstd="t" o:hr="t"/>
        </w:pict>
      </w:r>
    </w:p>
    <w:bookmarkEnd w:id="18"/>
    <w:bookmarkStart w:id="22" w:name="bull-base-and-bear-cases"/>
    <w:p>
      <w:pPr>
        <w:pStyle w:val="Heading2"/>
      </w:pPr>
      <w:r>
        <w:t xml:space="preserve">Bull, base, and bear cases</w:t>
      </w:r>
    </w:p>
    <w:bookmarkStart w:id="19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7"/>
        </w:numPr>
      </w:pPr>
      <w:r>
        <w:t xml:space="preserve">Q2 revenue decline is no worse than the low-to-mid-single-digit range</w:t>
      </w:r>
    </w:p>
    <w:p>
      <w:pPr>
        <w:pStyle w:val="Compact"/>
        <w:numPr>
          <w:ilvl w:val="0"/>
          <w:numId w:val="1017"/>
        </w:numPr>
      </w:pPr>
      <w:r>
        <w:t xml:space="preserve">Clover adjusted volume remains around low double digits</w:t>
      </w:r>
    </w:p>
    <w:p>
      <w:pPr>
        <w:pStyle w:val="Compact"/>
        <w:numPr>
          <w:ilvl w:val="0"/>
          <w:numId w:val="1017"/>
        </w:numPr>
      </w:pPr>
      <w:r>
        <w:t xml:space="preserve">Financial Solutions performs within the prior forecast</w:t>
      </w:r>
    </w:p>
    <w:p>
      <w:pPr>
        <w:pStyle w:val="Compact"/>
        <w:numPr>
          <w:ilvl w:val="0"/>
          <w:numId w:val="1017"/>
        </w:numPr>
      </w:pPr>
      <w:r>
        <w:t xml:space="preserve">First-half margin reaches the 31%–32% target</w:t>
      </w:r>
    </w:p>
    <w:p>
      <w:pPr>
        <w:pStyle w:val="Compact"/>
        <w:numPr>
          <w:ilvl w:val="0"/>
          <w:numId w:val="1017"/>
        </w:numPr>
      </w:pPr>
      <w:r>
        <w:t xml:space="preserve">Full-year revenue, EPS, margin, and cash-flow guidance are reaffirmed</w:t>
      </w:r>
    </w:p>
    <w:p>
      <w:pPr>
        <w:pStyle w:val="Compact"/>
        <w:numPr>
          <w:ilvl w:val="0"/>
          <w:numId w:val="1017"/>
        </w:numPr>
      </w:pPr>
      <w:r>
        <w:t xml:space="preserve">Management explicitly maintains 6%–8% second-half revenue growth</w:t>
      </w:r>
    </w:p>
    <w:p>
      <w:pPr>
        <w:pStyle w:val="Compact"/>
        <w:numPr>
          <w:ilvl w:val="0"/>
          <w:numId w:val="1017"/>
        </w:numPr>
      </w:pPr>
      <w:r>
        <w:t xml:space="preserve">New CEO provides leadership stability and credible portfolio-review commentary</w:t>
      </w:r>
    </w:p>
    <w:p>
      <w:pPr>
        <w:pStyle w:val="FirstParagraph"/>
      </w:pPr>
      <w:r>
        <w:rPr>
          <w:b/>
          <w:bCs/>
        </w:rPr>
        <w:t xml:space="preserve">Likely interpretation:</w:t>
      </w:r>
      <w:r>
        <w:t xml:space="preserve"> </w:t>
      </w:r>
      <w:r>
        <w:t xml:space="preserve">The trough is in, earnings estimates stabilize, and the stock begins discounting a 2027 recovery.</w:t>
      </w:r>
    </w:p>
    <w:bookmarkEnd w:id="19"/>
    <w:bookmarkStart w:id="20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8"/>
        </w:numPr>
      </w:pPr>
      <w:r>
        <w:t xml:space="preserve">Weak Q2 results broadly match prior warnings</w:t>
      </w:r>
    </w:p>
    <w:p>
      <w:pPr>
        <w:pStyle w:val="Compact"/>
        <w:numPr>
          <w:ilvl w:val="0"/>
          <w:numId w:val="1018"/>
        </w:numPr>
      </w:pPr>
      <w:r>
        <w:t xml:space="preserve">Full-year guidance is maintained</w:t>
      </w:r>
    </w:p>
    <w:p>
      <w:pPr>
        <w:pStyle w:val="Compact"/>
        <w:numPr>
          <w:ilvl w:val="0"/>
          <w:numId w:val="1018"/>
        </w:numPr>
      </w:pPr>
      <w:r>
        <w:t xml:space="preserve">Management remains confident in the second half but offers limited new evidence</w:t>
      </w:r>
    </w:p>
    <w:p>
      <w:pPr>
        <w:pStyle w:val="Compact"/>
        <w:numPr>
          <w:ilvl w:val="0"/>
          <w:numId w:val="1018"/>
        </w:numPr>
      </w:pPr>
      <w:r>
        <w:t xml:space="preserve">Clover is healthy, while Financial Solutions remains pressured</w:t>
      </w:r>
    </w:p>
    <w:p>
      <w:pPr>
        <w:pStyle w:val="Compact"/>
        <w:numPr>
          <w:ilvl w:val="0"/>
          <w:numId w:val="1018"/>
        </w:numPr>
      </w:pPr>
      <w:r>
        <w:t xml:space="preserve">Strategic-review questions remain unresolved</w:t>
      </w:r>
    </w:p>
    <w:p>
      <w:pPr>
        <w:pStyle w:val="FirstParagraph"/>
      </w:pPr>
      <w:r>
        <w:rPr>
          <w:b/>
          <w:bCs/>
        </w:rPr>
        <w:t xml:space="preserve">Likely interpretation:</w:t>
      </w:r>
      <w:r>
        <w:t xml:space="preserve"> </w:t>
      </w:r>
      <w:r>
        <w:t xml:space="preserve">A volatile but potentially modestly positive reaction; investors wait for Q3 proof of acceleration.</w:t>
      </w:r>
    </w:p>
    <w:bookmarkEnd w:id="20"/>
    <w:bookmarkStart w:id="21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9"/>
        </w:numPr>
      </w:pPr>
      <w:r>
        <w:t xml:space="preserve">Full-year guidance is reduced</w:t>
      </w:r>
    </w:p>
    <w:p>
      <w:pPr>
        <w:pStyle w:val="Compact"/>
        <w:numPr>
          <w:ilvl w:val="0"/>
          <w:numId w:val="1019"/>
        </w:numPr>
      </w:pPr>
      <w:r>
        <w:t xml:space="preserve">The 6%–8% second-half growth target is abandoned or qualified</w:t>
      </w:r>
    </w:p>
    <w:p>
      <w:pPr>
        <w:pStyle w:val="Compact"/>
        <w:numPr>
          <w:ilvl w:val="0"/>
          <w:numId w:val="1019"/>
        </w:numPr>
      </w:pPr>
      <w:r>
        <w:t xml:space="preserve">Clover volume slows materially</w:t>
      </w:r>
    </w:p>
    <w:p>
      <w:pPr>
        <w:pStyle w:val="Compact"/>
        <w:numPr>
          <w:ilvl w:val="0"/>
          <w:numId w:val="1019"/>
        </w:numPr>
      </w:pPr>
      <w:r>
        <w:t xml:space="preserve">Core attrition worsens</w:t>
      </w:r>
    </w:p>
    <w:p>
      <w:pPr>
        <w:pStyle w:val="Compact"/>
        <w:numPr>
          <w:ilvl w:val="0"/>
          <w:numId w:val="1019"/>
        </w:numPr>
      </w:pPr>
      <w:r>
        <w:t xml:space="preserve">Margin recovery or cash conversion falls behind plan</w:t>
      </w:r>
    </w:p>
    <w:p>
      <w:pPr>
        <w:pStyle w:val="Compact"/>
        <w:numPr>
          <w:ilvl w:val="0"/>
          <w:numId w:val="1019"/>
        </w:numPr>
      </w:pPr>
      <w:r>
        <w:t xml:space="preserve">Further executive turnover or client disruption emerges</w:t>
      </w:r>
    </w:p>
    <w:p>
      <w:pPr>
        <w:pStyle w:val="Compact"/>
        <w:numPr>
          <w:ilvl w:val="0"/>
          <w:numId w:val="1019"/>
        </w:numPr>
      </w:pPr>
      <w:r>
        <w:t xml:space="preserve">Management rejects strategic alternatives without establishing operating credibility</w:t>
      </w:r>
    </w:p>
    <w:p>
      <w:pPr>
        <w:pStyle w:val="FirstParagraph"/>
      </w:pPr>
      <w:r>
        <w:rPr>
          <w:b/>
          <w:bCs/>
        </w:rPr>
        <w:t xml:space="preserve">Likely interpretation:</w:t>
      </w:r>
      <w:r>
        <w:t xml:space="preserve"> </w:t>
      </w:r>
      <w:r>
        <w:t xml:space="preserve">Another reset to 2026–2029 earnings expectations and renewed concern that the May Investor Day plan is already stale.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Fiserv does not need a strong Q2. It needs a</w:t>
      </w:r>
      <w:r>
        <w:t xml:space="preserve"> </w:t>
      </w:r>
      <w:r>
        <w:rPr>
          <w:b/>
          <w:bCs/>
        </w:rPr>
        <w:t xml:space="preserve">controlled Q2</w:t>
      </w:r>
      <w:r>
        <w:t xml:space="preserve"> </w:t>
      </w:r>
      <w:r>
        <w:t xml:space="preserve">followed by a convincing explanation of why the second half will be much better.</w:t>
      </w:r>
    </w:p>
    <w:p>
      <w:pPr>
        <w:pStyle w:val="BodyText"/>
      </w:pPr>
      <w:r>
        <w:t xml:space="preserve">The most investable outcome would combine:</w:t>
      </w:r>
    </w:p>
    <w:p>
      <w:pPr>
        <w:pStyle w:val="Compact"/>
        <w:numPr>
          <w:ilvl w:val="0"/>
          <w:numId w:val="1020"/>
        </w:numPr>
      </w:pPr>
      <w:r>
        <w:t xml:space="preserve">Stable underlying Clover and transaction volumes</w:t>
      </w:r>
    </w:p>
    <w:p>
      <w:pPr>
        <w:pStyle w:val="Compact"/>
        <w:numPr>
          <w:ilvl w:val="0"/>
          <w:numId w:val="1020"/>
        </w:numPr>
      </w:pPr>
      <w:r>
        <w:t xml:space="preserve">Financial Solutions results within the previously communicated trough range</w:t>
      </w:r>
    </w:p>
    <w:p>
      <w:pPr>
        <w:pStyle w:val="Compact"/>
        <w:numPr>
          <w:ilvl w:val="0"/>
          <w:numId w:val="1020"/>
        </w:numPr>
      </w:pPr>
      <w:r>
        <w:t xml:space="preserve">Sequential margin recovery</w:t>
      </w:r>
    </w:p>
    <w:p>
      <w:pPr>
        <w:pStyle w:val="Compact"/>
        <w:numPr>
          <w:ilvl w:val="0"/>
          <w:numId w:val="1020"/>
        </w:numPr>
      </w:pPr>
      <w:r>
        <w:t xml:space="preserve">Unchanged 2026 guidance</w:t>
      </w:r>
    </w:p>
    <w:p>
      <w:pPr>
        <w:pStyle w:val="Compact"/>
        <w:numPr>
          <w:ilvl w:val="0"/>
          <w:numId w:val="1020"/>
        </w:numPr>
      </w:pPr>
      <w:r>
        <w:t xml:space="preserve">Concrete evidence behind the 6%–8% second-half revenue bridge</w:t>
      </w:r>
    </w:p>
    <w:p>
      <w:pPr>
        <w:pStyle w:val="Compact"/>
        <w:numPr>
          <w:ilvl w:val="0"/>
          <w:numId w:val="1020"/>
        </w:numPr>
      </w:pPr>
      <w:r>
        <w:t xml:space="preserve">Clear leadership accountability</w:t>
      </w:r>
    </w:p>
    <w:p>
      <w:pPr>
        <w:pStyle w:val="Compact"/>
        <w:numPr>
          <w:ilvl w:val="0"/>
          <w:numId w:val="1020"/>
        </w:numPr>
      </w:pPr>
      <w:r>
        <w:t xml:space="preserve">A disciplined response to activist demands and portfolio-review questions</w:t>
      </w:r>
    </w:p>
    <w:p>
      <w:pPr>
        <w:pStyle w:val="FirstParagraph"/>
      </w:pPr>
      <w:r>
        <w:t xml:space="preserve">Tomorrow’s headline numbers matter, but</w:t>
      </w:r>
      <w:r>
        <w:t xml:space="preserve"> </w:t>
      </w:r>
      <w:r>
        <w:rPr>
          <w:b/>
          <w:bCs/>
        </w:rPr>
        <w:t xml:space="preserve">guidance credibility, implementation progress, and leadership stability will determine whether investors view Fiserv as a damaged compounder beginning to recover—or as a business still searching for its true earnings base.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2026-08-06T00:09:04Z</dcterms:created>
  <dcterms:modified xsi:type="dcterms:W3CDTF">2026-08-06T00:09:04Z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