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v-earnings-predictions--2026-08-06"/>
    <w:p>
      <w:pPr>
        <w:pStyle w:val="Heading1"/>
      </w:pPr>
      <w:r>
        <w:t xml:space="preserve">FISV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~$5.00B vs. cons $5.06B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~$1.87 vs. cons $1.91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Financial Solutions 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~-7.2% vs. cons -6.0%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 vs. cons 2.0%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~$8.00 vs. cons $8.15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~33.5% vs. cons 34.0%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(FOLLOW-THROUGH)</w:t>
            </w:r>
          </w:p>
        </w:tc>
        <w:tc>
          <w:tcPr/>
          <w:p>
            <w:pPr>
              <w:pStyle w:val="Compact"/>
            </w:pPr>
            <w:r>
              <w:t xml:space="preserve">A ~$0.15 FY26 EPS-guide shortfall versus $8.15 consensus and a ~100-bp revenue-growth reset to 1.0% versus 2.0% would reduce the implied 2H acceleration and push 2027 estimates lower, outweighing a potentially modestly weak Q2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2026-08-06T00:07:37Z</dcterms:created>
  <dcterms:modified xsi:type="dcterms:W3CDTF">2026-08-06T00:07:37Z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