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5c2435392be283f040954ce050d450358f81e6"/>
    <w:p>
      <w:pPr>
        <w:pStyle w:val="Heading1"/>
      </w:pPr>
      <w:r>
        <w:t xml:space="preserve">Fiserv (NASDAQ: FISV) — 2Q26 Earnings Preview</w:t>
      </w:r>
    </w:p>
    <w:p>
      <w:pPr>
        <w:pStyle w:val="FirstParagraph"/>
      </w:pPr>
      <w:r>
        <w:rPr>
          <w:b/>
          <w:bCs/>
        </w:rPr>
        <w:t xml:space="preserve">Reporting:</w:t>
      </w:r>
      <w:r>
        <w:t xml:space="preserve"> </w:t>
      </w:r>
      <w:r>
        <w:t xml:space="preserve">Thursday, August 6, 2026, before the U.S. market open</w:t>
      </w:r>
      <w:r>
        <w:br/>
      </w:r>
      <w:r>
        <w:rPr>
          <w:b/>
          <w:bCs/>
        </w:rPr>
        <w:t xml:space="preserve">Event:</w:t>
      </w:r>
      <w:r>
        <w:t xml:space="preserve"> </w:t>
      </w:r>
      <w:r>
        <w:t xml:space="preserve">2026Q2 Earnings Call</w:t>
      </w:r>
    </w:p>
    <w:bookmarkStart w:id="9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Fiserv enters 2Q26 as a</w:t>
      </w:r>
      <w:r>
        <w:t xml:space="preserve"> </w:t>
      </w:r>
      <w:r>
        <w:rPr>
          <w:b/>
          <w:bCs/>
        </w:rPr>
        <w:t xml:space="preserve">credibility-and-inflection</w:t>
      </w:r>
      <w:r>
        <w:t xml:space="preserve"> </w:t>
      </w:r>
      <w:r>
        <w:t xml:space="preserve">report rather than a conventional beat-and-raise setup. Management has explicitly framed the second quarter as the</w:t>
      </w:r>
      <w:r>
        <w:t xml:space="preserve"> </w:t>
      </w:r>
      <w:r>
        <w:rPr>
          <w:b/>
          <w:bCs/>
        </w:rPr>
        <w:t xml:space="preserve">year-over-year revenue trough</w:t>
      </w:r>
      <w:r>
        <w:t xml:space="preserve">, with a return to growth expected in the second half. Therefore, the market will likely look past a weak headline comparison and focus on whether the underlying operating indicators validate the planned 2H acceleration.</w:t>
      </w:r>
    </w:p>
    <w:p>
      <w:pPr>
        <w:pStyle w:val="BodyText"/>
      </w:pPr>
      <w:r>
        <w:t xml:space="preserve">The central debate is straightforward: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Bull case:</w:t>
      </w:r>
      <w:r>
        <w:t xml:space="preserve"> </w:t>
      </w:r>
      <w:r>
        <w:t xml:space="preserve">Q2 confirms that first-half weakness is primarily a temporary combination of lapping unusually high non-recurring 2025 revenue, Argentina-related pressure, and transition investments. If Clover trends remain healthy, Financial Solutions declines are contained, and management reiterates its 1–3% organic-growth /</w:t>
      </w:r>
      <w:r>
        <w:t xml:space="preserve"> </w:t>
      </w:r>
      <m:oMath>
        <m:r>
          <m:t>8.00</m:t>
        </m:r>
        <m:r>
          <m:rPr>
            <m:sty m:val="p"/>
          </m:rPr>
          <m:t>–</m:t>
        </m:r>
      </m:oMath>
      <w:r>
        <w:t xml:space="preserve">8.30 adjusted-EPS outlook, investors can begin underwriting a cleaner 2027 growth profile.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Bear case:</w:t>
      </w:r>
      <w:r>
        <w:t xml:space="preserve"> </w:t>
      </w:r>
      <w:r>
        <w:t xml:space="preserve">Q2 exposes that Financial Solutions attrition, implementation delays, or competition are more structural than management suggests. In that scenario, the promised 2H rebound—and the medium-term “constant compounder” plan—will be difficult to trust.</w:t>
      </w:r>
    </w:p>
    <w:p>
      <w:pPr>
        <w:pStyle w:val="FirstParagraph"/>
      </w:pPr>
      <w:r>
        <w:t xml:space="preserve">The stock closed at</w:t>
      </w:r>
      <w:r>
        <w:t xml:space="preserve"> </w:t>
      </w:r>
      <w:r>
        <w:rPr>
          <w:b/>
          <w:bCs/>
        </w:rPr>
        <w:t xml:space="preserve">$54.13 on August 5</w:t>
      </w:r>
      <w:r>
        <w:t xml:space="preserve">, down roughly</w:t>
      </w:r>
      <w:r>
        <w:t xml:space="preserve"> </w:t>
      </w:r>
      <w:r>
        <w:rPr>
          <w:b/>
          <w:bCs/>
        </w:rPr>
        <w:t xml:space="preserve">19% year-to-date</w:t>
      </w:r>
      <w:r>
        <w:t xml:space="preserve"> </w:t>
      </w:r>
      <w:r>
        <w:t xml:space="preserve">and about</w:t>
      </w:r>
      <w:r>
        <w:t xml:space="preserve"> </w:t>
      </w:r>
      <w:r>
        <w:rPr>
          <w:b/>
          <w:bCs/>
        </w:rPr>
        <w:t xml:space="preserve">58% from its October 2025 high</w:t>
      </w:r>
      <w:r>
        <w:t xml:space="preserve">, making expectations visibly depressed—but also raising the bar for evidence that the turnaround is working.</w:t>
      </w:r>
    </w:p>
    <w:p>
      <w:r>
        <w:pict>
          <v:rect style="width:0;height:1.5pt" o:hralign="center" o:hrstd="t" o:hr="t"/>
        </w:pict>
      </w:r>
    </w:p>
    <w:bookmarkEnd w:id="9"/>
    <w:bookmarkStart w:id="11" w:name="what-matters-most-in-the-quarter"/>
    <w:p>
      <w:pPr>
        <w:pStyle w:val="Heading2"/>
      </w:pPr>
      <w:r>
        <w:t xml:space="preserve">What matters most in the quarter</w:t>
      </w:r>
    </w:p>
    <w:bookmarkStart w:id="10" w:name="X758819c83bf65f68da302922160586cb2afc7fc"/>
    <w:p>
      <w:pPr>
        <w:pStyle w:val="Heading3"/>
      </w:pPr>
      <w:r>
        <w:t xml:space="preserve">1. Is Q2 truly the revenue trough?</w:t>
      </w:r>
    </w:p>
    <w:p>
      <w:pPr>
        <w:pStyle w:val="FirstParagraph"/>
      </w:pPr>
      <w:r>
        <w:t xml:space="preserve">At 1Q26, Fiserv reported: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1Q26 result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YoY change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revenue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$4.68B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-2%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Organic revenue growth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right"/>
            </w:pPr>
            <w:r>
              <w:t xml:space="preserve">-4%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$1.79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-16%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operating margin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29.7%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-810 bps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Free cash flow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$259M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-30%</w:t>
            </w:r>
          </w:p>
        </w:tc>
      </w:tr>
    </w:tbl>
    <w:p>
      <w:pPr>
        <w:pStyle w:val="BodyText"/>
      </w:pPr>
      <w:r>
        <w:t xml:space="preserve">Management’s message was unambiguous:</w:t>
      </w:r>
      <w:r>
        <w:t xml:space="preserve"> </w:t>
      </w:r>
      <w:r>
        <w:rPr>
          <w:b/>
          <w:bCs/>
        </w:rPr>
        <w:t xml:space="preserve">2Q26 should be the low point</w:t>
      </w:r>
      <w:r>
        <w:t xml:space="preserve">, particularly because Financial Solutions was expected to decline at the high end of the mid-single-digit range. The company maintained full-year guidance for</w:t>
      </w:r>
      <w:r>
        <w:t xml:space="preserve"> </w:t>
      </w:r>
      <w:r>
        <w:rPr>
          <w:b/>
          <w:bCs/>
        </w:rPr>
        <w:t xml:space="preserve">1–3% organic revenue growth</w:t>
      </w:r>
      <w:r>
        <w:t xml:space="preserve">, implying a sharp shift to roughly</w:t>
      </w:r>
      <w:r>
        <w:t xml:space="preserve"> </w:t>
      </w:r>
      <w:r>
        <w:rPr>
          <w:b/>
          <w:bCs/>
        </w:rPr>
        <w:t xml:space="preserve">6–8% adjusted-revenue growth in 2H26</w:t>
      </w:r>
      <w:r>
        <w:t xml:space="preserve">.</w:t>
      </w:r>
    </w:p>
    <w:p>
      <w:pPr>
        <w:pStyle w:val="BodyText"/>
      </w:pPr>
      <w:r>
        <w:t xml:space="preserve">That makes the earnings release less about the reported Q2 growth rate and more about the bridge to the back half:</w:t>
      </w:r>
    </w:p>
    <w:p>
      <w:pPr>
        <w:pStyle w:val="Compact"/>
        <w:numPr>
          <w:ilvl w:val="0"/>
          <w:numId w:val="1002"/>
        </w:numPr>
      </w:pPr>
      <w:r>
        <w:t xml:space="preserve">Are contracted client implementations beginning on schedule?</w:t>
      </w:r>
    </w:p>
    <w:p>
      <w:pPr>
        <w:pStyle w:val="Compact"/>
        <w:numPr>
          <w:ilvl w:val="0"/>
          <w:numId w:val="1002"/>
        </w:numPr>
      </w:pPr>
      <w:r>
        <w:t xml:space="preserve">Is Clover’s growth re-accelerating as the comparison against prior-year non-recurring revenue eases?</w:t>
      </w:r>
    </w:p>
    <w:p>
      <w:pPr>
        <w:pStyle w:val="Compact"/>
        <w:numPr>
          <w:ilvl w:val="0"/>
          <w:numId w:val="1002"/>
        </w:numPr>
      </w:pPr>
      <w:r>
        <w:t xml:space="preserve">Are Financial Solutions’ underlying volumes stable despite the revenue decline?</w:t>
      </w:r>
    </w:p>
    <w:p>
      <w:pPr>
        <w:pStyle w:val="Compact"/>
        <w:numPr>
          <w:ilvl w:val="0"/>
          <w:numId w:val="1002"/>
        </w:numPr>
      </w:pPr>
      <w:r>
        <w:t xml:space="preserve">Does management still see the same 2H contribution from CashFlow Central, Experience Digital, Clover Capital/Savings, enterprise ramps, and client wins?</w:t>
      </w:r>
    </w:p>
    <w:p>
      <w:pPr>
        <w:pStyle w:val="FirstParagraph"/>
      </w:pPr>
      <w:r>
        <w:rPr>
          <w:b/>
          <w:bCs/>
        </w:rPr>
        <w:t xml:space="preserve">Key interpretation:</w:t>
      </w:r>
      <w:r>
        <w:t xml:space="preserve"> </w:t>
      </w:r>
      <w:r>
        <w:t xml:space="preserve">a weak Q2 is largely expected; a weaker-than-telegraphed Q2 or any retreat from the 2H setup would be the more consequential outcome.</w:t>
      </w:r>
    </w:p>
    <w:p>
      <w:r>
        <w:pict>
          <v:rect style="width:0;height:1.5pt" o:hralign="center" o:hrstd="t" o:hr="t"/>
        </w:pict>
      </w:r>
    </w:p>
    <w:bookmarkEnd w:id="10"/>
    <w:bookmarkEnd w:id="11"/>
    <w:bookmarkStart w:id="12" w:name="Xfb79e90242743df927e6f5a2afc5f019b11a0b1"/>
    <w:p>
      <w:pPr>
        <w:pStyle w:val="Heading2"/>
      </w:pPr>
      <w:r>
        <w:t xml:space="preserve">2. Clover is the most important proof point in Merchant Solutions</w:t>
      </w:r>
    </w:p>
    <w:p>
      <w:pPr>
        <w:pStyle w:val="FirstParagraph"/>
      </w:pPr>
      <w:r>
        <w:t xml:space="preserve">Clover remains the clearest source of near- and medium-term upside. In 1Q26:</w:t>
      </w:r>
    </w:p>
    <w:p>
      <w:pPr>
        <w:pStyle w:val="Compact"/>
        <w:numPr>
          <w:ilvl w:val="0"/>
          <w:numId w:val="1003"/>
        </w:numPr>
      </w:pPr>
      <w:r>
        <w:t xml:space="preserve">Clover reported revenue grew</w:t>
      </w:r>
      <w:r>
        <w:t xml:space="preserve"> </w:t>
      </w:r>
      <w:r>
        <w:rPr>
          <w:b/>
          <w:bCs/>
        </w:rPr>
        <w:t xml:space="preserve">6%</w:t>
      </w:r>
      <w:r>
        <w:t xml:space="preserve">, but management said growth would have been</w:t>
      </w:r>
      <w:r>
        <w:t xml:space="preserve"> </w:t>
      </w:r>
      <w:r>
        <w:rPr>
          <w:b/>
          <w:bCs/>
        </w:rPr>
        <w:t xml:space="preserve">mid-teens excluding a difficult non-recurring prior-year comparison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Clover GPV increased more than</w:t>
      </w:r>
      <w:r>
        <w:t xml:space="preserve"> </w:t>
      </w:r>
      <w:r>
        <w:rPr>
          <w:b/>
          <w:bCs/>
        </w:rPr>
        <w:t xml:space="preserve">9% reported</w:t>
      </w:r>
      <w:r>
        <w:t xml:space="preserve">, or about</w:t>
      </w:r>
      <w:r>
        <w:t xml:space="preserve"> </w:t>
      </w:r>
      <w:r>
        <w:rPr>
          <w:b/>
          <w:bCs/>
        </w:rPr>
        <w:t xml:space="preserve">12% excluding a gateway conversion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Value-added services represented</w:t>
      </w:r>
      <w:r>
        <w:t xml:space="preserve"> </w:t>
      </w:r>
      <w:r>
        <w:rPr>
          <w:b/>
          <w:bCs/>
        </w:rPr>
        <w:t xml:space="preserve">27% of Clover revenue</w:t>
      </w:r>
      <w:r>
        <w:t xml:space="preserve"> </w:t>
      </w:r>
      <w:r>
        <w:t xml:space="preserve">and grew</w:t>
      </w:r>
      <w:r>
        <w:t xml:space="preserve"> </w:t>
      </w:r>
      <w:r>
        <w:rPr>
          <w:b/>
          <w:bCs/>
        </w:rPr>
        <w:t xml:space="preserve">18%</w:t>
      </w:r>
      <w:r>
        <w:t xml:space="preserve">, supported by SaaS attachment and Clover Capital.</w:t>
      </w:r>
    </w:p>
    <w:p>
      <w:pPr>
        <w:pStyle w:val="Compact"/>
        <w:numPr>
          <w:ilvl w:val="0"/>
          <w:numId w:val="1003"/>
        </w:numPr>
      </w:pPr>
      <w:r>
        <w:t xml:space="preserve">Management expects low-double-digit Clover revenue growth for 2026 and has set a medium-term target of</w:t>
      </w:r>
      <w:r>
        <w:t xml:space="preserve"> </w:t>
      </w:r>
      <w:r>
        <w:rPr>
          <w:b/>
          <w:bCs/>
        </w:rPr>
        <w:t xml:space="preserve">15–20% annual Clover revenue growth</w:t>
      </w:r>
      <w:r>
        <w:t xml:space="preserve">.</w:t>
      </w:r>
    </w:p>
    <w:p>
      <w:pPr>
        <w:pStyle w:val="FirstParagraph"/>
      </w:pPr>
      <w:r>
        <w:t xml:space="preserve">For Q2, investors should focus on four data points: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Clover GPV growth ex-conversion.</w:t>
      </w:r>
      <w:r>
        <w:t xml:space="preserve"> </w:t>
      </w:r>
      <w:r>
        <w:t xml:space="preserve">This is the cleanest indicator of underlying merchant demand and share gains.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Clover revenue growth versus GPV.</w:t>
      </w:r>
      <w:r>
        <w:t xml:space="preserve"> </w:t>
      </w:r>
      <w:r>
        <w:t xml:space="preserve">The gap will indicate whether value-added-service monetization is improving.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Clover Capital and Clover Savings adoption.</w:t>
      </w:r>
      <w:r>
        <w:t xml:space="preserve"> </w:t>
      </w:r>
      <w:r>
        <w:t xml:space="preserve">These are key elements of the plan to monetize the installed base more deeply.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Progress converting the non-Clover SMB back book.</w:t>
      </w:r>
      <w:r>
        <w:t xml:space="preserve"> </w:t>
      </w:r>
      <w:r>
        <w:t xml:space="preserve">Fiserv has identified 1.8 million non-Clover SMB clients generating roughly $4B of annual revenue as a major conversion opportunity. Management’s strategy is intentionally low-friction: lead with the Clover dashboard, capital, savings, and AI tools before seeking a broader point-of-sale migration.</w:t>
      </w:r>
    </w:p>
    <w:p>
      <w:pPr>
        <w:pStyle w:val="FirstParagraph"/>
      </w:pPr>
      <w:r>
        <w:t xml:space="preserve">A constructive report would show that Clover’s underlying mid-teens growth is becoming more visible in the reported number, while attrition and service metrics improve. A disappointing report would show slowing GPV, weak SaaS/capital attachment, or a need to temper the Clover outlook.</w:t>
      </w:r>
    </w:p>
    <w:p>
      <w:r>
        <w:pict>
          <v:rect style="width:0;height:1.5pt" o:hralign="center" o:hrstd="t" o:hr="t"/>
        </w:pict>
      </w:r>
    </w:p>
    <w:bookmarkEnd w:id="12"/>
    <w:bookmarkStart w:id="14" w:name="X2be0dce7e6ab5b409e4aa434e1bf0785b0f2f81"/>
    <w:p>
      <w:pPr>
        <w:pStyle w:val="Heading2"/>
      </w:pPr>
      <w:r>
        <w:t xml:space="preserve">3. Financial Solutions remains the principal risk</w:t>
      </w:r>
    </w:p>
    <w:p>
      <w:pPr>
        <w:pStyle w:val="FirstParagraph"/>
      </w:pPr>
      <w:r>
        <w:t xml:space="preserve">Financial Solutions was the weak link in 1Q26, with organic revenue down</w:t>
      </w:r>
      <w:r>
        <w:t xml:space="preserve"> </w:t>
      </w:r>
      <w:r>
        <w:rPr>
          <w:b/>
          <w:bCs/>
        </w:rPr>
        <w:t xml:space="preserve">6%</w:t>
      </w:r>
      <w:r>
        <w:t xml:space="preserve"> </w:t>
      </w:r>
      <w:r>
        <w:t xml:space="preserve">and segment margin down to</w:t>
      </w:r>
      <w:r>
        <w:t xml:space="preserve"> </w:t>
      </w:r>
      <w:r>
        <w:rPr>
          <w:b/>
          <w:bCs/>
        </w:rPr>
        <w:t xml:space="preserve">38.1%</w:t>
      </w:r>
      <w:r>
        <w:t xml:space="preserve"> </w:t>
      </w:r>
      <w:r>
        <w:t xml:space="preserve">from</w:t>
      </w:r>
      <w:r>
        <w:t xml:space="preserve"> </w:t>
      </w:r>
      <w:r>
        <w:rPr>
          <w:b/>
          <w:bCs/>
        </w:rPr>
        <w:t xml:space="preserve">47.5%</w:t>
      </w:r>
      <w:r>
        <w:t xml:space="preserve"> </w:t>
      </w:r>
      <w:r>
        <w:t xml:space="preserve">a year earlier. Management attributed much of the pressure to lapping non-recurring revenue, prior service issues, elevated core-bank attrition, and investments in clients, technology, and product delivery.</w:t>
      </w:r>
    </w:p>
    <w:p>
      <w:pPr>
        <w:pStyle w:val="BodyText"/>
      </w:pPr>
      <w:r>
        <w:t xml:space="preserve">The important underlying question is whether the business is stabilizing:</w:t>
      </w:r>
    </w:p>
    <w:bookmarkStart w:id="13" w:name="items-to-watch"/>
    <w:p>
      <w:pPr>
        <w:pStyle w:val="Heading3"/>
      </w:pPr>
      <w:r>
        <w:t xml:space="preserve">Items to watch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Core-account and revenue attrition:</w:t>
      </w:r>
      <w:r>
        <w:t xml:space="preserve"> </w:t>
      </w:r>
      <w:r>
        <w:t xml:space="preserve">Management has acknowledged that core attrition rose from approximately 75 bps historically to about 150 bps. The plan assumes no material improvement during 2026, followed by a gradual recovery through 2029.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Client service and resilience:</w:t>
      </w:r>
      <w:r>
        <w:t xml:space="preserve"> </w:t>
      </w:r>
      <w:r>
        <w:t xml:space="preserve">Fiserv has increased client-facing coverage and cited lower incident volumes and faster ticket resolution. Investors need evidence these improvements are translating into retention and cross-sell.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Banking and issuing execution:</w:t>
      </w:r>
      <w:r>
        <w:t xml:space="preserve"> </w:t>
      </w:r>
      <w:r>
        <w:t xml:space="preserve">Experience Digital, CashFlow Central, Optus modernization, and Vision Next are expected to convert product investment into growth.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Payments volumes:</w:t>
      </w:r>
      <w:r>
        <w:t xml:space="preserve"> </w:t>
      </w:r>
      <w:r>
        <w:t xml:space="preserve">Debit processing, debit-network volumes, Zelle, instant payments, and cash-management products should help distinguish underlying demand from non-recurring revenue noise.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Bill-pay weakness:</w:t>
      </w:r>
      <w:r>
        <w:t xml:space="preserve"> </w:t>
      </w:r>
      <w:r>
        <w:t xml:space="preserve">This has been a drag as consumer payment behavior shifts toward account-to-account and real-time rails.</w:t>
      </w:r>
    </w:p>
    <w:p>
      <w:pPr>
        <w:pStyle w:val="FirstParagraph"/>
      </w:pPr>
      <w:r>
        <w:t xml:space="preserve">The good news is that management has positioned 2026 as a stabilization year, not a year of immediate Financial Solutions recovery. The risk is that elevated attrition or implementation delays make the projected 2027 normalization less credible.</w:t>
      </w:r>
    </w:p>
    <w:p>
      <w:r>
        <w:pict>
          <v:rect style="width:0;height:1.5pt" o:hralign="center" o:hrstd="t" o:hr="t"/>
        </w:pict>
      </w:r>
    </w:p>
    <w:bookmarkEnd w:id="13"/>
    <w:bookmarkEnd w:id="14"/>
    <w:bookmarkStart w:id="15" w:name="X3dd74208690c10c80d33ef206ae47c5a57434ef"/>
    <w:p>
      <w:pPr>
        <w:pStyle w:val="Heading2"/>
      </w:pPr>
      <w:r>
        <w:t xml:space="preserve">4. Guidance matters more than the quarterly EPS print</w:t>
      </w:r>
    </w:p>
    <w:p>
      <w:pPr>
        <w:pStyle w:val="FirstParagraph"/>
      </w:pPr>
      <w:r>
        <w:t xml:space="preserve">Fiserv reaffirmed full-year 2026 guidance after 1Q: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Organic revenue growth:</w:t>
      </w:r>
      <w:r>
        <w:t xml:space="preserve"> </w:t>
      </w:r>
      <w:r>
        <w:t xml:space="preserve">1% to 3%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Adjusted EPS:</w:t>
      </w:r>
      <w:r>
        <w:t xml:space="preserve"> </w:t>
      </w:r>
      <w:r>
        <w:t xml:space="preserve">$8.00 to $8.30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Adjusted operating margin:</w:t>
      </w:r>
      <w:r>
        <w:t xml:space="preserve"> </w:t>
      </w:r>
      <w:r>
        <w:t xml:space="preserve">approximately 34%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Free-cash-flow conversion:</w:t>
      </w:r>
      <w:r>
        <w:t xml:space="preserve"> </w:t>
      </w:r>
      <w:r>
        <w:t xml:space="preserve">approximately 90% of adjusted net income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Year-end gross leverage:</w:t>
      </w:r>
      <w:r>
        <w:t xml:space="preserve"> </w:t>
      </w:r>
      <w:r>
        <w:t xml:space="preserve">approximately 3.0x</w:t>
      </w:r>
    </w:p>
    <w:p>
      <w:pPr>
        <w:pStyle w:val="FirstParagraph"/>
      </w:pPr>
      <w:r>
        <w:t xml:space="preserve">The EPS comparison requires care. First-quarter adjusted EPS benefited by</w:t>
      </w:r>
      <w:r>
        <w:t xml:space="preserve"> </w:t>
      </w:r>
      <w:r>
        <w:rPr>
          <w:b/>
          <w:bCs/>
        </w:rPr>
        <w:t xml:space="preserve">$0.17</w:t>
      </w:r>
      <w:r>
        <w:t xml:space="preserve"> </w:t>
      </w:r>
      <w:r>
        <w:t xml:space="preserve">from a lower-than-normal 11% adjusted tax rate due to a valuation-allowance release. Management expects a 19–19.5% adjusted tax rate for the full year, meaning the remaining quarterly tax rate should be materially higher. Thus, investors should not treat sequential EPS performance mechanically.</w:t>
      </w:r>
    </w:p>
    <w:p>
      <w:pPr>
        <w:pStyle w:val="BodyText"/>
      </w:pPr>
      <w:r>
        <w:rPr>
          <w:b/>
          <w:bCs/>
        </w:rPr>
        <w:t xml:space="preserve">The earnings-call question:</w:t>
      </w:r>
      <w:r>
        <w:t xml:space="preserve"> </w:t>
      </w:r>
      <w:r>
        <w:t xml:space="preserve">Can management reiterate the full-year guide while giving a sufficiently concrete explanation for why 2H growth accelerates? The more detail it provides on signed revenue, implementation timing, Clover monetization, and enterprise-client ramps, the more credible the guide will appear.</w:t>
      </w:r>
    </w:p>
    <w:p>
      <w:r>
        <w:pict>
          <v:rect style="width:0;height:1.5pt" o:hralign="center" o:hrstd="t" o:hr="t"/>
        </w:pict>
      </w:r>
    </w:p>
    <w:bookmarkEnd w:id="15"/>
    <w:bookmarkStart w:id="16" w:name="Xc465736b9391b19a791c76993cb6e888b2c9a95"/>
    <w:p>
      <w:pPr>
        <w:pStyle w:val="Heading2"/>
      </w:pPr>
      <w:r>
        <w:t xml:space="preserve">5. Margin and cash flow: investment period versus structural erosion</w:t>
      </w:r>
    </w:p>
    <w:p>
      <w:pPr>
        <w:pStyle w:val="FirstParagraph"/>
      </w:pPr>
      <w:r>
        <w:t xml:space="preserve">Fiserv’s adjusted operating margin fell to</w:t>
      </w:r>
      <w:r>
        <w:t xml:space="preserve"> </w:t>
      </w:r>
      <w:r>
        <w:rPr>
          <w:b/>
          <w:bCs/>
        </w:rPr>
        <w:t xml:space="preserve">29.7%</w:t>
      </w:r>
      <w:r>
        <w:t xml:space="preserve"> </w:t>
      </w:r>
      <w:r>
        <w:t xml:space="preserve">in 1Q26 from</w:t>
      </w:r>
      <w:r>
        <w:t xml:space="preserve"> </w:t>
      </w:r>
      <w:r>
        <w:rPr>
          <w:b/>
          <w:bCs/>
        </w:rPr>
        <w:t xml:space="preserve">37.8%</w:t>
      </w:r>
      <w:r>
        <w:t xml:space="preserve"> </w:t>
      </w:r>
      <w:r>
        <w:t xml:space="preserve">in 1Q25. That decline reflected lower revenue, higher client-service and technology investment, severance and transformation costs, and operating deleverage.</w:t>
      </w:r>
    </w:p>
    <w:p>
      <w:pPr>
        <w:pStyle w:val="BodyText"/>
      </w:pPr>
      <w:r>
        <w:t xml:space="preserve">Management’s medium-term plan calls for:</w:t>
      </w:r>
    </w:p>
    <w:p>
      <w:pPr>
        <w:pStyle w:val="Compact"/>
        <w:numPr>
          <w:ilvl w:val="0"/>
          <w:numId w:val="1007"/>
        </w:numPr>
      </w:pPr>
      <w:r>
        <w:t xml:space="preserve">Company adjusted-revenue growth of</w:t>
      </w:r>
      <w:r>
        <w:t xml:space="preserve"> </w:t>
      </w:r>
      <w:r>
        <w:rPr>
          <w:b/>
          <w:bCs/>
        </w:rPr>
        <w:t xml:space="preserve">4–6% compounded from 2027 through 2029</w:t>
      </w:r>
    </w:p>
    <w:p>
      <w:pPr>
        <w:pStyle w:val="Compact"/>
        <w:numPr>
          <w:ilvl w:val="0"/>
          <w:numId w:val="1007"/>
        </w:numPr>
      </w:pPr>
      <w:r>
        <w:t xml:space="preserve">Adjusted operating margin above</w:t>
      </w:r>
      <w:r>
        <w:t xml:space="preserve"> </w:t>
      </w:r>
      <w:r>
        <w:rPr>
          <w:b/>
          <w:bCs/>
        </w:rPr>
        <w:t xml:space="preserve">37% by 2029</w:t>
      </w:r>
    </w:p>
    <w:p>
      <w:pPr>
        <w:pStyle w:val="Compact"/>
        <w:numPr>
          <w:ilvl w:val="0"/>
          <w:numId w:val="1007"/>
        </w:numPr>
      </w:pPr>
      <w:r>
        <w:t xml:space="preserve">More than</w:t>
      </w:r>
      <w:r>
        <w:t xml:space="preserve"> </w:t>
      </w:r>
      <w:r>
        <w:rPr>
          <w:b/>
          <w:bCs/>
        </w:rPr>
        <w:t xml:space="preserve">$500M</w:t>
      </w:r>
      <w:r>
        <w:t xml:space="preserve"> </w:t>
      </w:r>
      <w:r>
        <w:t xml:space="preserve">of net cost reduction through Project Elevate by 2029</w:t>
      </w:r>
    </w:p>
    <w:p>
      <w:pPr>
        <w:pStyle w:val="Compact"/>
        <w:numPr>
          <w:ilvl w:val="0"/>
          <w:numId w:val="1007"/>
        </w:numPr>
      </w:pPr>
      <w:r>
        <w:t xml:space="preserve">Adjusted EPS above</w:t>
      </w:r>
      <w:r>
        <w:t xml:space="preserve"> </w:t>
      </w:r>
      <w:r>
        <w:rPr>
          <w:b/>
          <w:bCs/>
        </w:rPr>
        <w:t xml:space="preserve">$12</w:t>
      </w:r>
      <w:r>
        <w:t xml:space="preserve"> </w:t>
      </w:r>
      <w:r>
        <w:t xml:space="preserve">by 2029</w:t>
      </w:r>
    </w:p>
    <w:p>
      <w:pPr>
        <w:pStyle w:val="FirstParagraph"/>
      </w:pPr>
      <w:r>
        <w:t xml:space="preserve">The near-term investment case depends on viewing the 2026 margin reset as temporary and productive. Q2 should provide early evidence on that thesis:</w:t>
      </w:r>
    </w:p>
    <w:p>
      <w:pPr>
        <w:pStyle w:val="Compact"/>
        <w:numPr>
          <w:ilvl w:val="0"/>
          <w:numId w:val="1008"/>
        </w:numPr>
      </w:pPr>
      <w:r>
        <w:t xml:space="preserve">Are service investments producing better retention and less churn?</w:t>
      </w:r>
    </w:p>
    <w:p>
      <w:pPr>
        <w:pStyle w:val="Compact"/>
        <w:numPr>
          <w:ilvl w:val="0"/>
          <w:numId w:val="1008"/>
        </w:numPr>
      </w:pPr>
      <w:r>
        <w:t xml:space="preserve">Is AI-enabled productivity yielding measurable operational gains?</w:t>
      </w:r>
    </w:p>
    <w:p>
      <w:pPr>
        <w:pStyle w:val="Compact"/>
        <w:numPr>
          <w:ilvl w:val="0"/>
          <w:numId w:val="1008"/>
        </w:numPr>
      </w:pPr>
      <w:r>
        <w:t xml:space="preserve">Are transformation costs staying within expectations?</w:t>
      </w:r>
    </w:p>
    <w:p>
      <w:pPr>
        <w:pStyle w:val="Compact"/>
        <w:numPr>
          <w:ilvl w:val="0"/>
          <w:numId w:val="1008"/>
        </w:numPr>
      </w:pPr>
      <w:r>
        <w:t xml:space="preserve">Does free cash flow improve seasonally after the weak first quarter?</w:t>
      </w:r>
    </w:p>
    <w:p>
      <w:pPr>
        <w:pStyle w:val="FirstParagraph"/>
      </w:pPr>
      <w:r>
        <w:t xml:space="preserve">Investors should be cautious about treating “AI” or Project Elevate as a margin solution without measurable milestones. The more credible signals would be falling ticket volumes, faster implementations, lower call-center costs, fewer client incidents, and visible productivity savings.</w:t>
      </w:r>
    </w:p>
    <w:p>
      <w:r>
        <w:pict>
          <v:rect style="width:0;height:1.5pt" o:hralign="center" o:hrstd="t" o:hr="t"/>
        </w:pict>
      </w:r>
    </w:p>
    <w:bookmarkEnd w:id="16"/>
    <w:bookmarkStart w:id="17" w:name="leadership-and-strategic-review-overhang"/>
    <w:p>
      <w:pPr>
        <w:pStyle w:val="Heading2"/>
      </w:pPr>
      <w:r>
        <w:t xml:space="preserve">Leadership and strategic-review overhang</w:t>
      </w:r>
    </w:p>
    <w:p>
      <w:pPr>
        <w:pStyle w:val="FirstParagraph"/>
      </w:pPr>
      <w:r>
        <w:t xml:space="preserve">The report arrives amid unusual governance and strategic noise:</w:t>
      </w:r>
    </w:p>
    <w:p>
      <w:pPr>
        <w:pStyle w:val="Compact"/>
        <w:numPr>
          <w:ilvl w:val="0"/>
          <w:numId w:val="1009"/>
        </w:numPr>
      </w:pPr>
      <w:r>
        <w:t xml:space="preserve">On</w:t>
      </w:r>
      <w:r>
        <w:t xml:space="preserve"> </w:t>
      </w:r>
      <w:r>
        <w:rPr>
          <w:b/>
          <w:bCs/>
        </w:rPr>
        <w:t xml:space="preserve">July 7, 2026</w:t>
      </w:r>
      <w:r>
        <w:t xml:space="preserve">, Financial Solutions President</w:t>
      </w:r>
      <w:r>
        <w:t xml:space="preserve"> </w:t>
      </w:r>
      <w:r>
        <w:rPr>
          <w:b/>
          <w:bCs/>
        </w:rPr>
        <w:t xml:space="preserve">Dhivya Suryadevara resigned</w:t>
      </w:r>
      <w:r>
        <w:t xml:space="preserve">. Andrew Gelb and Srini Krish were named interim leaders of the business.</w:t>
      </w:r>
    </w:p>
    <w:p>
      <w:pPr>
        <w:pStyle w:val="Compact"/>
        <w:numPr>
          <w:ilvl w:val="0"/>
          <w:numId w:val="1009"/>
        </w:numPr>
      </w:pPr>
      <w:r>
        <w:t xml:space="preserve">In late July, activist investor</w:t>
      </w:r>
      <w:r>
        <w:t xml:space="preserve"> </w:t>
      </w:r>
      <w:r>
        <w:rPr>
          <w:b/>
          <w:bCs/>
        </w:rPr>
        <w:t xml:space="preserve">Jana Partners</w:t>
      </w:r>
      <w:r>
        <w:t xml:space="preserve"> </w:t>
      </w:r>
      <w:r>
        <w:t xml:space="preserve">reportedly pushed Fiserv to conduct a formal strategic review of the full company and refresh the board.</w:t>
      </w:r>
    </w:p>
    <w:p>
      <w:pPr>
        <w:pStyle w:val="FirstParagraph"/>
      </w:pPr>
      <w:r>
        <w:t xml:space="preserve">These developments create two opposing implications: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Potential upside:</w:t>
      </w:r>
      <w:r>
        <w:t xml:space="preserve"> </w:t>
      </w:r>
      <w:r>
        <w:t xml:space="preserve">The activist pressure could sharpen capital allocation, increase accountability, and elevate the chance of portfolio actions.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Execution risk:</w:t>
      </w:r>
      <w:r>
        <w:t xml:space="preserve"> </w:t>
      </w:r>
      <w:r>
        <w:t xml:space="preserve">Financial Solutions is already the business most in need of operational stabilization; a leadership transition could slow decision-making or unsettle clients and employees.</w:t>
      </w:r>
    </w:p>
    <w:p>
      <w:pPr>
        <w:pStyle w:val="FirstParagraph"/>
      </w:pPr>
      <w:r>
        <w:t xml:space="preserve">Management used its May Investor Day to strongly defend the strategic logic of keeping Merchant and Financial Solutions together, emphasizing cross-sell, embedded finance, proprietary data, bank distribution, and “on-us” transaction economics. The August call will likely feature questions on whether that position has changed.</w:t>
      </w:r>
    </w:p>
    <w:p>
      <w:r>
        <w:pict>
          <v:rect style="width:0;height:1.5pt" o:hralign="center" o:hrstd="t" o:hr="t"/>
        </w:pict>
      </w:r>
    </w:p>
    <w:bookmarkEnd w:id="17"/>
    <w:bookmarkStart w:id="18" w:name="what-a-good-q2-would-look-like"/>
    <w:p>
      <w:pPr>
        <w:pStyle w:val="Heading2"/>
      </w:pPr>
      <w:r>
        <w:t xml:space="preserve">What a “good” Q2 would look like</w:t>
      </w:r>
    </w:p>
    <w:p>
      <w:pPr>
        <w:pStyle w:val="FirstParagraph"/>
      </w:pPr>
      <w:r>
        <w:t xml:space="preserve">A favorable setup would include: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Reiteration of the full-year outlook</w:t>
      </w:r>
      <w:r>
        <w:t xml:space="preserve"> </w:t>
      </w:r>
      <w:r>
        <w:t xml:space="preserve">with a specific and credible 2H revenue bridge.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Clover GPV and normalized revenue growth holding near management’s expectations</w:t>
      </w:r>
      <w:r>
        <w:t xml:space="preserve">, alongside continued value-added-services momentum.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Financial Solutions performing no worse than the expected high-mid-single-digit Q2 decline</w:t>
      </w:r>
      <w:r>
        <w:t xml:space="preserve">, with stable account and transaction trends.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No deterioration in core-bank attrition</w:t>
      </w:r>
      <w:r>
        <w:t xml:space="preserve"> </w:t>
      </w:r>
      <w:r>
        <w:t xml:space="preserve">and additional evidence that service remediation is working.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Improving cash-flow trajectory</w:t>
      </w:r>
      <w:r>
        <w:t xml:space="preserve"> </w:t>
      </w:r>
      <w:r>
        <w:t xml:space="preserve">after the seasonally weak first quarter.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Clear leadership continuity</w:t>
      </w:r>
      <w:r>
        <w:t xml:space="preserve"> </w:t>
      </w:r>
      <w:r>
        <w:t xml:space="preserve">in Financial Solutions and no indication that the July management change has disrupted execution.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Disciplined commentary on strategic alternatives</w:t>
      </w:r>
      <w:r>
        <w:t xml:space="preserve">, capital allocation, and the activist situation.</w:t>
      </w:r>
    </w:p>
    <w:p>
      <w:r>
        <w:pict>
          <v:rect style="width:0;height:1.5pt" o:hralign="center" o:hrstd="t" o:hr="t"/>
        </w:pict>
      </w:r>
    </w:p>
    <w:bookmarkEnd w:id="18"/>
    <w:bookmarkStart w:id="19" w:name="what-would-likely-disappoint"/>
    <w:p>
      <w:pPr>
        <w:pStyle w:val="Heading2"/>
      </w:pPr>
      <w:r>
        <w:t xml:space="preserve">What would likely disappoint</w:t>
      </w:r>
    </w:p>
    <w:p>
      <w:pPr>
        <w:pStyle w:val="FirstParagraph"/>
      </w:pPr>
      <w:r>
        <w:t xml:space="preserve">The market is likely to react negatively to:</w:t>
      </w:r>
    </w:p>
    <w:p>
      <w:pPr>
        <w:pStyle w:val="Compact"/>
        <w:numPr>
          <w:ilvl w:val="0"/>
          <w:numId w:val="1012"/>
        </w:numPr>
      </w:pPr>
      <w:r>
        <w:t xml:space="preserve">A reduction in the 2026 organic-growth or adjusted-EPS range.</w:t>
      </w:r>
    </w:p>
    <w:p>
      <w:pPr>
        <w:pStyle w:val="Compact"/>
        <w:numPr>
          <w:ilvl w:val="0"/>
          <w:numId w:val="1012"/>
        </w:numPr>
      </w:pPr>
      <w:r>
        <w:t xml:space="preserve">Evidence that the 2H acceleration depends on revenue ramps that are slipping.</w:t>
      </w:r>
    </w:p>
    <w:p>
      <w:pPr>
        <w:pStyle w:val="Compact"/>
        <w:numPr>
          <w:ilvl w:val="0"/>
          <w:numId w:val="1012"/>
        </w:numPr>
      </w:pPr>
      <w:r>
        <w:t xml:space="preserve">Clover GPV deceleration or weaker value-added-services attachment.</w:t>
      </w:r>
    </w:p>
    <w:p>
      <w:pPr>
        <w:pStyle w:val="Compact"/>
        <w:numPr>
          <w:ilvl w:val="0"/>
          <w:numId w:val="1012"/>
        </w:numPr>
      </w:pPr>
      <w:r>
        <w:t xml:space="preserve">Financial Solutions revenue decline worse than high-mid-single digits, especially if tied to additional attrition rather than comparability items.</w:t>
      </w:r>
    </w:p>
    <w:p>
      <w:pPr>
        <w:pStyle w:val="Compact"/>
        <w:numPr>
          <w:ilvl w:val="0"/>
          <w:numId w:val="1012"/>
        </w:numPr>
      </w:pPr>
      <w:r>
        <w:t xml:space="preserve">Further margin degradation without tangible service or productivity benefits.</w:t>
      </w:r>
    </w:p>
    <w:p>
      <w:pPr>
        <w:pStyle w:val="Compact"/>
        <w:numPr>
          <w:ilvl w:val="0"/>
          <w:numId w:val="1012"/>
        </w:numPr>
      </w:pPr>
      <w:r>
        <w:t xml:space="preserve">Ambiguous communication around the Financial Solutions leadership transition.</w:t>
      </w:r>
    </w:p>
    <w:p>
      <w:pPr>
        <w:pStyle w:val="Compact"/>
        <w:numPr>
          <w:ilvl w:val="0"/>
          <w:numId w:val="1012"/>
        </w:numPr>
      </w:pPr>
      <w:r>
        <w:t xml:space="preserve">A defensive response to activist demands without a clear case for how the current structure will create value.</w:t>
      </w:r>
    </w:p>
    <w:p>
      <w:r>
        <w:pict>
          <v:rect style="width:0;height:1.5pt" o:hralign="center" o:hrstd="t" o:hr="t"/>
        </w:pict>
      </w:r>
    </w:p>
    <w:bookmarkEnd w:id="19"/>
    <w:bookmarkStart w:id="21" w:name="investor-takeaway"/>
    <w:p>
      <w:pPr>
        <w:pStyle w:val="Heading2"/>
      </w:pPr>
      <w:r>
        <w:t xml:space="preserve">Investor takeaway</w:t>
      </w:r>
    </w:p>
    <w:p>
      <w:pPr>
        <w:pStyle w:val="FirstParagraph"/>
      </w:pPr>
      <w:r>
        <w:t xml:space="preserve">Fiserv’s 2Q26 report is principally a test of whether management’s</w:t>
      </w:r>
      <w:r>
        <w:t xml:space="preserve"> </w:t>
      </w:r>
      <w:r>
        <w:rPr>
          <w:b/>
          <w:bCs/>
        </w:rPr>
        <w:t xml:space="preserve">“trough quarter, then recovery”</w:t>
      </w:r>
      <w:r>
        <w:t xml:space="preserve"> </w:t>
      </w:r>
      <w:r>
        <w:t xml:space="preserve">framework is intact. The company does not need a strong reported growth number to satisfy investors; it needs to demonstrate that weak first-half results are contained, that Clover is still compounding at an attractive underlying rate, and that Financial Solutions is stabilizing rather than deteriorating.</w:t>
      </w:r>
    </w:p>
    <w:p>
      <w:pPr>
        <w:pStyle w:val="BodyText"/>
      </w:pPr>
      <w:r>
        <w:t xml:space="preserve">The most important output from the call will be the credibility of the</w:t>
      </w:r>
      <w:r>
        <w:t xml:space="preserve"> </w:t>
      </w:r>
      <w:r>
        <w:rPr>
          <w:b/>
          <w:bCs/>
        </w:rPr>
        <w:t xml:space="preserve">second-half guide</w:t>
      </w:r>
      <w:r>
        <w:t xml:space="preserve">. If Fiserv can support that guide with concrete implementation, volume, retention, and Clover-monetization evidence, the report could begin to shift the narrative from operational repair toward 2027 earnings recovery. If not, leadership turnover and activist pressure will likely become a larger part of the investment debate.</w:t>
      </w:r>
    </w:p>
    <w:p>
      <w:r>
        <w:pict>
          <v:rect style="width:0;height:1.5pt" o:hralign="center" o:hrstd="t" o:hr="t"/>
        </w:pict>
      </w:r>
    </w:p>
    <w:bookmarkStart w:id="20" w:name="primary-materials-reviewed"/>
    <w:p>
      <w:pPr>
        <w:pStyle w:val="Heading3"/>
      </w:pPr>
      <w:r>
        <w:t xml:space="preserve">Primary materials reviewed</w:t>
      </w:r>
    </w:p>
    <w:p>
      <w:pPr>
        <w:pStyle w:val="Compact"/>
        <w:numPr>
          <w:ilvl w:val="0"/>
          <w:numId w:val="1013"/>
        </w:numPr>
      </w:pPr>
      <w:r>
        <w:t xml:space="preserve">Fiserv 1Q26 earnings release and earnings-call transcript — May 5, 2026</w:t>
      </w:r>
    </w:p>
    <w:p>
      <w:pPr>
        <w:pStyle w:val="Compact"/>
        <w:numPr>
          <w:ilvl w:val="0"/>
          <w:numId w:val="1013"/>
        </w:numPr>
      </w:pPr>
      <w:r>
        <w:t xml:space="preserve">Fiserv Investor Day transcript — May 14, 2026</w:t>
      </w:r>
    </w:p>
    <w:p>
      <w:pPr>
        <w:pStyle w:val="Compact"/>
        <w:numPr>
          <w:ilvl w:val="0"/>
          <w:numId w:val="1013"/>
        </w:numPr>
      </w:pPr>
      <w:r>
        <w:t xml:space="preserve">Fiserv 2Q25 earnings release — July 23, 2025</w:t>
      </w:r>
    </w:p>
    <w:p>
      <w:pPr>
        <w:pStyle w:val="Compact"/>
        <w:numPr>
          <w:ilvl w:val="0"/>
          <w:numId w:val="1013"/>
        </w:numPr>
      </w:pPr>
      <w:r>
        <w:t xml:space="preserve">Fiserv Form 8-K regarding Financial Solutions leadership changes — July 7, 2026</w:t>
      </w:r>
    </w:p>
    <w:p>
      <w:pPr>
        <w:pStyle w:val="Compact"/>
        <w:numPr>
          <w:ilvl w:val="0"/>
          <w:numId w:val="1013"/>
        </w:numPr>
      </w:pPr>
      <w:r>
        <w:t xml:space="preserve">Recent market-news digest regarding Jana Partners’ strategic-review pressure — July 30, 2026</w:t>
      </w:r>
    </w:p>
    <w:bookmarkEnd w:id="20"/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  <w:num w:numId="101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2026-08-06T00:07:37Z</dcterms:created>
  <dcterms:modified xsi:type="dcterms:W3CDTF">2026-08-06T00:07:37Z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